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8C5D7" w14:textId="6C4F401A" w:rsidR="000100B5" w:rsidRPr="00EE70D2" w:rsidRDefault="000100B5" w:rsidP="000100B5">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9B7EB1">
        <w:rPr>
          <w:b/>
          <w:noProof/>
          <w:sz w:val="24"/>
        </w:rPr>
        <w:t>2101350</w:t>
      </w:r>
      <w:r>
        <w:rPr>
          <w:b/>
          <w:i/>
          <w:noProof/>
          <w:sz w:val="28"/>
        </w:rPr>
        <w:tab/>
      </w:r>
    </w:p>
    <w:p w14:paraId="19EABF0C" w14:textId="673F5D1E" w:rsidR="000100B5" w:rsidRPr="000C3D4F" w:rsidRDefault="000100B5" w:rsidP="000100B5">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521183" w:rsidRPr="00521183">
        <w:rPr>
          <w:rFonts w:eastAsia="MS Mincho" w:cs="Arial"/>
          <w:b/>
          <w:bCs/>
          <w:sz w:val="24"/>
          <w:szCs w:val="24"/>
          <w:lang w:val="en-CN" w:eastAsia="ja-JP"/>
        </w:rPr>
        <w:t>January 25</w:t>
      </w:r>
      <w:r w:rsidR="00521183" w:rsidRPr="00521183">
        <w:rPr>
          <w:rFonts w:eastAsia="MS Mincho" w:cs="Arial"/>
          <w:b/>
          <w:bCs/>
          <w:sz w:val="24"/>
          <w:szCs w:val="24"/>
          <w:vertAlign w:val="superscript"/>
          <w:lang w:val="en-CN" w:eastAsia="ja-JP"/>
        </w:rPr>
        <w:t>th</w:t>
      </w:r>
      <w:r w:rsidR="00521183" w:rsidRPr="00521183">
        <w:rPr>
          <w:rFonts w:eastAsia="MS Mincho" w:cs="Arial"/>
          <w:b/>
          <w:bCs/>
          <w:sz w:val="24"/>
          <w:szCs w:val="24"/>
          <w:lang w:val="en-CN" w:eastAsia="ja-JP"/>
        </w:rPr>
        <w:t xml:space="preserve"> – February 5</w:t>
      </w:r>
      <w:r w:rsidR="00521183" w:rsidRPr="00521183">
        <w:rPr>
          <w:rFonts w:eastAsia="MS Mincho" w:cs="Arial"/>
          <w:b/>
          <w:bCs/>
          <w:sz w:val="24"/>
          <w:szCs w:val="24"/>
          <w:vertAlign w:val="superscript"/>
          <w:lang w:val="en-CN" w:eastAsia="ja-JP"/>
        </w:rPr>
        <w:t>th</w:t>
      </w:r>
      <w:r w:rsidR="00521183" w:rsidRPr="00521183">
        <w:rPr>
          <w:rFonts w:eastAsia="MS Mincho" w:cs="Arial"/>
          <w:b/>
          <w:bCs/>
          <w:sz w:val="24"/>
          <w:szCs w:val="24"/>
          <w:lang w:val="en-CN" w:eastAsia="ja-JP"/>
        </w:rPr>
        <w:t>, 2021</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298AE77D"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w:t>
      </w:r>
      <w:r w:rsidR="00521183">
        <w:rPr>
          <w:lang w:val="en-US"/>
        </w:rPr>
        <w:t>3</w:t>
      </w:r>
      <w:r w:rsidR="004E6D4D">
        <w:rPr>
          <w:lang w:val="en-US"/>
        </w:rPr>
        <w:t xml:space="preserve"> meeting</w:t>
      </w:r>
      <w:r>
        <w:rPr>
          <w:lang w:val="en-US"/>
        </w:rPr>
        <w:t xml:space="preserve">, the following </w:t>
      </w:r>
      <w:r w:rsidR="004E6D4D">
        <w:rPr>
          <w:lang w:val="en-US"/>
        </w:rPr>
        <w:t>agreements</w:t>
      </w:r>
      <w:r>
        <w:rPr>
          <w:lang w:val="en-US"/>
        </w:rPr>
        <w:t xml:space="preserve"> 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521183" w14:paraId="2343D666" w14:textId="77777777" w:rsidTr="00C5338B">
        <w:tc>
          <w:tcPr>
            <w:tcW w:w="9010" w:type="dxa"/>
          </w:tcPr>
          <w:p w14:paraId="7E86D4E1" w14:textId="77777777" w:rsidR="00521183" w:rsidRPr="00521183" w:rsidRDefault="00521183" w:rsidP="00521183">
            <w:pPr>
              <w:rPr>
                <w:b/>
                <w:bCs/>
                <w:sz w:val="20"/>
                <w:szCs w:val="20"/>
                <w:highlight w:val="green"/>
              </w:rPr>
            </w:pPr>
            <w:r w:rsidRPr="00521183">
              <w:rPr>
                <w:b/>
                <w:bCs/>
                <w:sz w:val="20"/>
                <w:szCs w:val="20"/>
                <w:highlight w:val="green"/>
              </w:rPr>
              <w:t>Agreement</w:t>
            </w:r>
          </w:p>
          <w:p w14:paraId="15A1C948" w14:textId="77777777" w:rsidR="00521183" w:rsidRPr="00521183" w:rsidRDefault="00521183" w:rsidP="00521183">
            <w:pPr>
              <w:snapToGrid w:val="0"/>
              <w:jc w:val="both"/>
              <w:rPr>
                <w:sz w:val="20"/>
                <w:szCs w:val="20"/>
              </w:rPr>
            </w:pPr>
            <w:r w:rsidRPr="00521183">
              <w:rPr>
                <w:sz w:val="20"/>
                <w:szCs w:val="20"/>
              </w:rPr>
              <w:t>On beam indication signaling medium to support joint or separate DL/UL beam indication in Rel.17 unified TCI framework:</w:t>
            </w:r>
          </w:p>
          <w:p w14:paraId="7AB38746" w14:textId="77777777" w:rsidR="00521183" w:rsidRPr="00521183" w:rsidRDefault="00521183" w:rsidP="00521183">
            <w:pPr>
              <w:pStyle w:val="ListParagraph"/>
              <w:numPr>
                <w:ilvl w:val="0"/>
                <w:numId w:val="38"/>
              </w:numPr>
              <w:snapToGrid w:val="0"/>
              <w:ind w:leftChars="0"/>
              <w:jc w:val="both"/>
              <w:rPr>
                <w:rFonts w:ascii="Times New Roman" w:hAnsi="Times New Roman"/>
                <w:szCs w:val="20"/>
              </w:rPr>
            </w:pPr>
            <w:r w:rsidRPr="00521183">
              <w:rPr>
                <w:rFonts w:ascii="Times New Roman" w:hAnsi="Times New Roman"/>
                <w:szCs w:val="20"/>
              </w:rPr>
              <w:t xml:space="preserve">Support L1-based beam indication using at least UE-specific (unicast) DCI to indicate joint or separate DL/UL beam indication from the active TCI states </w:t>
            </w:r>
          </w:p>
          <w:p w14:paraId="54598A81" w14:textId="77777777" w:rsidR="00521183" w:rsidRPr="00521183" w:rsidRDefault="00521183" w:rsidP="00521183">
            <w:pPr>
              <w:pStyle w:val="ListParagraph"/>
              <w:numPr>
                <w:ilvl w:val="1"/>
                <w:numId w:val="38"/>
              </w:numPr>
              <w:snapToGrid w:val="0"/>
              <w:ind w:leftChars="0"/>
              <w:jc w:val="both"/>
              <w:rPr>
                <w:rFonts w:ascii="Times New Roman" w:hAnsi="Times New Roman"/>
                <w:szCs w:val="20"/>
              </w:rPr>
            </w:pPr>
            <w:r w:rsidRPr="00521183">
              <w:rPr>
                <w:rFonts w:ascii="Times New Roman" w:hAnsi="Times New Roman"/>
                <w:szCs w:val="20"/>
              </w:rPr>
              <w:t>The existing DCI formats 1_1 and 1_2 are reused for beam indication</w:t>
            </w:r>
          </w:p>
          <w:p w14:paraId="0A235D4B" w14:textId="77777777" w:rsidR="00521183" w:rsidRPr="00521183" w:rsidRDefault="00521183" w:rsidP="00521183">
            <w:pPr>
              <w:pStyle w:val="ListParagraph"/>
              <w:numPr>
                <w:ilvl w:val="1"/>
                <w:numId w:val="38"/>
              </w:numPr>
              <w:snapToGrid w:val="0"/>
              <w:ind w:leftChars="0"/>
              <w:jc w:val="both"/>
              <w:rPr>
                <w:rFonts w:ascii="Times New Roman" w:hAnsi="Times New Roman"/>
                <w:szCs w:val="20"/>
              </w:rPr>
            </w:pPr>
            <w:r w:rsidRPr="00521183">
              <w:rPr>
                <w:rFonts w:ascii="Times New Roman" w:hAnsi="Times New Roman"/>
                <w:szCs w:val="20"/>
              </w:rPr>
              <w:t>Support a mechanism for UE to acknowledge successful decoding of beam indication</w:t>
            </w:r>
          </w:p>
          <w:p w14:paraId="09BEC557" w14:textId="77777777" w:rsidR="00521183" w:rsidRPr="00521183" w:rsidRDefault="00521183" w:rsidP="00521183">
            <w:pPr>
              <w:pStyle w:val="ListParagraph"/>
              <w:numPr>
                <w:ilvl w:val="2"/>
                <w:numId w:val="38"/>
              </w:numPr>
              <w:snapToGrid w:val="0"/>
              <w:ind w:leftChars="0"/>
              <w:jc w:val="both"/>
              <w:rPr>
                <w:rFonts w:ascii="Times New Roman" w:hAnsi="Times New Roman"/>
                <w:szCs w:val="20"/>
              </w:rPr>
            </w:pPr>
            <w:r w:rsidRPr="00521183">
              <w:rPr>
                <w:rFonts w:ascii="Times New Roman" w:hAnsi="Times New Roman"/>
                <w:szCs w:val="20"/>
              </w:rPr>
              <w:t>The ACK/NAK of the PDSCH scheduled by the DCI carrying the beam indication can be used as an ACK also for the DCI</w:t>
            </w:r>
          </w:p>
          <w:p w14:paraId="76A54BD5" w14:textId="77777777" w:rsidR="00521183" w:rsidRPr="00521183" w:rsidRDefault="00521183" w:rsidP="00521183">
            <w:pPr>
              <w:pStyle w:val="ListParagraph"/>
              <w:numPr>
                <w:ilvl w:val="2"/>
                <w:numId w:val="38"/>
              </w:numPr>
              <w:snapToGrid w:val="0"/>
              <w:ind w:leftChars="0"/>
              <w:jc w:val="both"/>
              <w:rPr>
                <w:rFonts w:ascii="Times New Roman" w:hAnsi="Times New Roman"/>
                <w:szCs w:val="20"/>
              </w:rPr>
            </w:pPr>
            <w:r w:rsidRPr="00521183">
              <w:rPr>
                <w:rFonts w:ascii="Times New Roman" w:hAnsi="Times New Roman"/>
                <w:szCs w:val="20"/>
              </w:rPr>
              <w:t>FFS: Whether any additional specification support is needed</w:t>
            </w:r>
          </w:p>
          <w:p w14:paraId="3E5B112E" w14:textId="77777777" w:rsidR="00521183" w:rsidRPr="00521183" w:rsidRDefault="00521183" w:rsidP="00521183">
            <w:pPr>
              <w:pStyle w:val="ListParagraph"/>
              <w:numPr>
                <w:ilvl w:val="0"/>
                <w:numId w:val="38"/>
              </w:numPr>
              <w:snapToGrid w:val="0"/>
              <w:ind w:leftChars="0"/>
              <w:jc w:val="both"/>
              <w:rPr>
                <w:rFonts w:ascii="Times New Roman" w:hAnsi="Times New Roman"/>
                <w:szCs w:val="20"/>
              </w:rPr>
            </w:pPr>
            <w:r w:rsidRPr="00521183">
              <w:rPr>
                <w:rFonts w:ascii="Times New Roman" w:hAnsi="Times New Roman"/>
                <w:szCs w:val="20"/>
              </w:rPr>
              <w:t>Support activation of one or more TCI states via MAC CE analogous to Rel.15/16:</w:t>
            </w:r>
          </w:p>
          <w:p w14:paraId="46AEF3A4" w14:textId="77777777" w:rsidR="00521183" w:rsidRPr="00521183" w:rsidRDefault="00521183" w:rsidP="00521183">
            <w:pPr>
              <w:pStyle w:val="ListParagraph"/>
              <w:numPr>
                <w:ilvl w:val="1"/>
                <w:numId w:val="38"/>
              </w:numPr>
              <w:snapToGrid w:val="0"/>
              <w:ind w:leftChars="0"/>
              <w:jc w:val="both"/>
              <w:rPr>
                <w:rFonts w:ascii="Times New Roman" w:hAnsi="Times New Roman"/>
                <w:szCs w:val="20"/>
              </w:rPr>
            </w:pPr>
            <w:r w:rsidRPr="00521183">
              <w:rPr>
                <w:rFonts w:ascii="Times New Roman" w:hAnsi="Times New Roman"/>
                <w:szCs w:val="20"/>
              </w:rPr>
              <w:t>At least for the single activated TCI state, the activated TCI state is applied</w:t>
            </w:r>
          </w:p>
          <w:p w14:paraId="40C5C3ED" w14:textId="77777777" w:rsidR="00521183" w:rsidRPr="00521183" w:rsidRDefault="00521183" w:rsidP="00521183">
            <w:pPr>
              <w:pStyle w:val="ListParagraph"/>
              <w:numPr>
                <w:ilvl w:val="1"/>
                <w:numId w:val="38"/>
              </w:numPr>
              <w:snapToGrid w:val="0"/>
              <w:ind w:leftChars="0"/>
              <w:jc w:val="both"/>
              <w:rPr>
                <w:rFonts w:ascii="Times New Roman" w:hAnsi="Times New Roman"/>
                <w:szCs w:val="20"/>
              </w:rPr>
            </w:pPr>
            <w:r w:rsidRPr="00521183">
              <w:rPr>
                <w:rFonts w:ascii="Times New Roman" w:hAnsi="Times New Roman"/>
                <w:szCs w:val="20"/>
              </w:rPr>
              <w:t>The content for the MAC CE is determined based on the outcome of issue 1</w:t>
            </w:r>
          </w:p>
          <w:p w14:paraId="7DFA43C5" w14:textId="77777777" w:rsidR="00521183" w:rsidRPr="00521183" w:rsidRDefault="00521183" w:rsidP="00521183">
            <w:pPr>
              <w:pStyle w:val="ListParagraph"/>
              <w:numPr>
                <w:ilvl w:val="1"/>
                <w:numId w:val="38"/>
              </w:numPr>
              <w:snapToGrid w:val="0"/>
              <w:ind w:leftChars="0"/>
              <w:jc w:val="both"/>
              <w:rPr>
                <w:rFonts w:ascii="Times New Roman" w:hAnsi="Times New Roman"/>
                <w:szCs w:val="20"/>
              </w:rPr>
            </w:pPr>
            <w:r w:rsidRPr="00521183">
              <w:rPr>
                <w:rFonts w:ascii="Times New Roman" w:hAnsi="Times New Roman"/>
                <w:szCs w:val="20"/>
              </w:rPr>
              <w:t>FFS: If supported, default TCI state when more than one TCI states are activated by MAC CE</w:t>
            </w:r>
          </w:p>
          <w:p w14:paraId="0506D342" w14:textId="77777777" w:rsidR="00521183" w:rsidRPr="00521183" w:rsidRDefault="00521183" w:rsidP="00521183">
            <w:pPr>
              <w:pStyle w:val="ListParagraph"/>
              <w:numPr>
                <w:ilvl w:val="1"/>
                <w:numId w:val="38"/>
              </w:numPr>
              <w:snapToGrid w:val="0"/>
              <w:ind w:leftChars="0"/>
              <w:jc w:val="both"/>
              <w:rPr>
                <w:rFonts w:ascii="Times New Roman" w:hAnsi="Times New Roman"/>
                <w:szCs w:val="20"/>
              </w:rPr>
            </w:pPr>
            <w:r w:rsidRPr="00521183">
              <w:rPr>
                <w:rFonts w:ascii="Times New Roman" w:hAnsi="Times New Roman"/>
                <w:szCs w:val="20"/>
              </w:rPr>
              <w:t xml:space="preserve">Note: There is no implications on the support of single TRP or multi-TRP </w:t>
            </w:r>
          </w:p>
          <w:p w14:paraId="71E333A9" w14:textId="77777777" w:rsidR="00521183" w:rsidRPr="00521183" w:rsidRDefault="00521183" w:rsidP="00521183">
            <w:pPr>
              <w:pStyle w:val="ListParagraph"/>
              <w:numPr>
                <w:ilvl w:val="0"/>
                <w:numId w:val="38"/>
              </w:numPr>
              <w:snapToGrid w:val="0"/>
              <w:ind w:leftChars="0"/>
              <w:jc w:val="both"/>
              <w:rPr>
                <w:rFonts w:ascii="Times New Roman" w:hAnsi="Times New Roman"/>
                <w:szCs w:val="20"/>
              </w:rPr>
            </w:pPr>
            <w:r w:rsidRPr="00521183">
              <w:rPr>
                <w:rFonts w:ascii="Times New Roman" w:hAnsi="Times New Roman"/>
                <w:szCs w:val="20"/>
              </w:rPr>
              <w:t>FFS: Additional enhancement such as L1-based beam indication with group-common DCI</w:t>
            </w:r>
          </w:p>
          <w:p w14:paraId="3441CC70" w14:textId="77777777" w:rsidR="00521183" w:rsidRPr="00521183" w:rsidRDefault="00521183" w:rsidP="00521183">
            <w:pPr>
              <w:pStyle w:val="ListParagraph"/>
              <w:numPr>
                <w:ilvl w:val="0"/>
                <w:numId w:val="38"/>
              </w:numPr>
              <w:snapToGrid w:val="0"/>
              <w:ind w:leftChars="0"/>
              <w:jc w:val="both"/>
              <w:rPr>
                <w:rFonts w:ascii="Times New Roman" w:hAnsi="Times New Roman"/>
                <w:szCs w:val="20"/>
              </w:rPr>
            </w:pPr>
            <w:r w:rsidRPr="00521183">
              <w:rPr>
                <w:rFonts w:ascii="Times New Roman" w:hAnsi="Times New Roman"/>
                <w:szCs w:val="20"/>
              </w:rPr>
              <w:t>FFS: Whether the Rel.17 beam indication can also apply to beam indication for single channel (e.g. PDSCH only, single CORESET) or a subset of channels</w:t>
            </w:r>
          </w:p>
          <w:p w14:paraId="5B4CA9D8" w14:textId="77777777" w:rsidR="00521183" w:rsidRPr="00521183" w:rsidRDefault="00521183" w:rsidP="00521183">
            <w:pPr>
              <w:pStyle w:val="ListParagraph"/>
              <w:numPr>
                <w:ilvl w:val="0"/>
                <w:numId w:val="38"/>
              </w:numPr>
              <w:snapToGrid w:val="0"/>
              <w:ind w:leftChars="0"/>
              <w:jc w:val="both"/>
              <w:rPr>
                <w:rFonts w:ascii="Times New Roman" w:hAnsi="Times New Roman"/>
                <w:szCs w:val="20"/>
              </w:rPr>
            </w:pPr>
            <w:r w:rsidRPr="00521183">
              <w:rPr>
                <w:rFonts w:ascii="Times New Roman" w:hAnsi="Times New Roman"/>
                <w:szCs w:val="20"/>
              </w:rPr>
              <w:t>FFS: Additional details on extending the support of L1-based beam indication when separate UL (from DL) common beam indication is configured</w:t>
            </w:r>
          </w:p>
          <w:p w14:paraId="271CB669" w14:textId="77777777" w:rsidR="00521183" w:rsidRPr="00521183" w:rsidRDefault="00521183" w:rsidP="00521183">
            <w:pPr>
              <w:rPr>
                <w:sz w:val="20"/>
                <w:szCs w:val="20"/>
              </w:rPr>
            </w:pPr>
          </w:p>
          <w:p w14:paraId="138EA60D" w14:textId="77777777" w:rsidR="00521183" w:rsidRPr="00521183" w:rsidRDefault="00521183" w:rsidP="00521183">
            <w:pPr>
              <w:snapToGrid w:val="0"/>
              <w:jc w:val="both"/>
              <w:rPr>
                <w:sz w:val="20"/>
                <w:szCs w:val="20"/>
                <w:lang w:val="en-US" w:eastAsia="ko-KR"/>
              </w:rPr>
            </w:pPr>
            <w:r w:rsidRPr="00521183">
              <w:rPr>
                <w:b/>
                <w:bCs/>
                <w:sz w:val="20"/>
                <w:szCs w:val="20"/>
                <w:highlight w:val="green"/>
              </w:rPr>
              <w:t>Agreement</w:t>
            </w:r>
          </w:p>
          <w:p w14:paraId="6284F446" w14:textId="77777777" w:rsidR="00521183" w:rsidRPr="00521183" w:rsidRDefault="00521183" w:rsidP="00521183">
            <w:pPr>
              <w:snapToGrid w:val="0"/>
              <w:jc w:val="both"/>
              <w:rPr>
                <w:sz w:val="20"/>
                <w:szCs w:val="20"/>
              </w:rPr>
            </w:pPr>
            <w:r w:rsidRPr="00521183">
              <w:rPr>
                <w:sz w:val="20"/>
                <w:szCs w:val="20"/>
              </w:rPr>
              <w:t>On Rel-17 unified TCI framework, to accommodate the case of separate beam indication for UL and DL:</w:t>
            </w:r>
          </w:p>
          <w:p w14:paraId="219BFA12" w14:textId="77777777" w:rsidR="00521183" w:rsidRPr="00521183" w:rsidRDefault="00521183" w:rsidP="00521183">
            <w:pPr>
              <w:pStyle w:val="ListParagraph"/>
              <w:numPr>
                <w:ilvl w:val="0"/>
                <w:numId w:val="39"/>
              </w:numPr>
              <w:snapToGrid w:val="0"/>
              <w:ind w:leftChars="0"/>
              <w:jc w:val="both"/>
              <w:rPr>
                <w:rFonts w:ascii="Times New Roman" w:hAnsi="Times New Roman"/>
                <w:szCs w:val="20"/>
                <w:lang w:eastAsia="zh-CN"/>
              </w:rPr>
            </w:pPr>
            <w:r w:rsidRPr="00521183">
              <w:rPr>
                <w:rFonts w:ascii="Times New Roman" w:hAnsi="Times New Roman"/>
                <w:szCs w:val="20"/>
                <w:lang w:eastAsia="zh-CN"/>
              </w:rPr>
              <w:t xml:space="preserve">Utilize two separate TCI states, one for DL and one for UL. </w:t>
            </w:r>
          </w:p>
          <w:p w14:paraId="77D559CE" w14:textId="77777777" w:rsidR="00521183" w:rsidRPr="00521183" w:rsidRDefault="00521183" w:rsidP="00521183">
            <w:pPr>
              <w:pStyle w:val="ListParagraph"/>
              <w:numPr>
                <w:ilvl w:val="1"/>
                <w:numId w:val="39"/>
              </w:numPr>
              <w:snapToGrid w:val="0"/>
              <w:ind w:leftChars="0"/>
              <w:contextualSpacing/>
              <w:jc w:val="both"/>
              <w:rPr>
                <w:rFonts w:ascii="Times New Roman" w:hAnsi="Times New Roman"/>
                <w:szCs w:val="20"/>
                <w:lang w:eastAsia="zh-CN"/>
              </w:rPr>
            </w:pPr>
            <w:r w:rsidRPr="00521183">
              <w:rPr>
                <w:rFonts w:ascii="Times New Roman" w:hAnsi="Times New Roman"/>
                <w:szCs w:val="20"/>
                <w:lang w:eastAsia="zh-CN"/>
              </w:rPr>
              <w:t>FFS: Contents of separate UL TCI state</w:t>
            </w:r>
          </w:p>
          <w:p w14:paraId="4EE328CC" w14:textId="77777777" w:rsidR="00521183" w:rsidRPr="00521183" w:rsidRDefault="00521183" w:rsidP="00521183">
            <w:pPr>
              <w:pStyle w:val="ListParagraph"/>
              <w:numPr>
                <w:ilvl w:val="1"/>
                <w:numId w:val="39"/>
              </w:numPr>
              <w:snapToGrid w:val="0"/>
              <w:ind w:leftChars="0"/>
              <w:contextualSpacing/>
              <w:jc w:val="both"/>
              <w:rPr>
                <w:rFonts w:ascii="Times New Roman" w:hAnsi="Times New Roman"/>
                <w:szCs w:val="20"/>
                <w:lang w:eastAsia="zh-CN"/>
              </w:rPr>
            </w:pPr>
            <w:r w:rsidRPr="00521183">
              <w:rPr>
                <w:rFonts w:ascii="Times New Roman" w:hAnsi="Times New Roman"/>
                <w:szCs w:val="20"/>
                <w:lang w:eastAsia="zh-CN"/>
              </w:rPr>
              <w:t xml:space="preserve">Note: For FR1, UE does not expect UL TCI to provide a reference for determining common UL TX spatial filter(s), if UL TCI is supported for FR1 </w:t>
            </w:r>
          </w:p>
          <w:p w14:paraId="7BA108C6" w14:textId="77777777" w:rsidR="00521183" w:rsidRPr="00521183" w:rsidRDefault="00521183" w:rsidP="00521183">
            <w:pPr>
              <w:pStyle w:val="ListParagraph"/>
              <w:numPr>
                <w:ilvl w:val="0"/>
                <w:numId w:val="39"/>
              </w:numPr>
              <w:snapToGrid w:val="0"/>
              <w:ind w:leftChars="0"/>
              <w:jc w:val="both"/>
              <w:rPr>
                <w:rFonts w:ascii="Times New Roman" w:hAnsi="Times New Roman"/>
                <w:szCs w:val="20"/>
                <w:lang w:eastAsia="zh-CN"/>
              </w:rPr>
            </w:pPr>
            <w:r w:rsidRPr="00521183">
              <w:rPr>
                <w:rFonts w:ascii="Times New Roman" w:hAnsi="Times New Roman"/>
                <w:szCs w:val="20"/>
                <w:lang w:eastAsia="zh-CN"/>
              </w:rPr>
              <w:t xml:space="preserve">For the separate DL TCI: </w:t>
            </w:r>
          </w:p>
          <w:p w14:paraId="6BDA9EFF" w14:textId="77777777" w:rsidR="00521183" w:rsidRPr="00521183" w:rsidRDefault="00521183" w:rsidP="00521183">
            <w:pPr>
              <w:pStyle w:val="ListParagraph"/>
              <w:numPr>
                <w:ilvl w:val="1"/>
                <w:numId w:val="39"/>
              </w:numPr>
              <w:snapToGrid w:val="0"/>
              <w:ind w:leftChars="0"/>
              <w:contextualSpacing/>
              <w:jc w:val="both"/>
              <w:rPr>
                <w:rFonts w:ascii="Times New Roman" w:hAnsi="Times New Roman"/>
                <w:szCs w:val="20"/>
                <w:lang w:eastAsia="zh-CN"/>
              </w:rPr>
            </w:pPr>
            <w:r w:rsidRPr="00521183">
              <w:rPr>
                <w:rFonts w:ascii="Times New Roman" w:hAnsi="Times New Roman"/>
                <w:szCs w:val="20"/>
                <w:lang w:eastAsia="zh-CN"/>
              </w:rPr>
              <w:t>The source reference signal(s) in M TCIs provide QCL information at least for UE-dedicated reception on PDSCH and for UE-dedicated reception on all or subset of CORESETs in a CC</w:t>
            </w:r>
          </w:p>
          <w:p w14:paraId="3D127B46" w14:textId="77777777" w:rsidR="00521183" w:rsidRPr="00521183" w:rsidRDefault="00521183" w:rsidP="00521183">
            <w:pPr>
              <w:pStyle w:val="ListParagraph"/>
              <w:numPr>
                <w:ilvl w:val="0"/>
                <w:numId w:val="39"/>
              </w:numPr>
              <w:snapToGrid w:val="0"/>
              <w:ind w:leftChars="0"/>
              <w:jc w:val="both"/>
              <w:rPr>
                <w:rFonts w:ascii="Times New Roman" w:hAnsi="Times New Roman"/>
                <w:szCs w:val="20"/>
                <w:lang w:eastAsia="zh-CN"/>
              </w:rPr>
            </w:pPr>
            <w:r w:rsidRPr="00521183">
              <w:rPr>
                <w:rFonts w:ascii="Times New Roman" w:hAnsi="Times New Roman"/>
                <w:szCs w:val="20"/>
                <w:lang w:eastAsia="zh-CN"/>
              </w:rPr>
              <w:t>For the separate UL TCI:</w:t>
            </w:r>
          </w:p>
          <w:p w14:paraId="090FEFCB" w14:textId="77777777" w:rsidR="00521183" w:rsidRPr="00521183" w:rsidRDefault="00521183" w:rsidP="00521183">
            <w:pPr>
              <w:pStyle w:val="ListParagraph"/>
              <w:numPr>
                <w:ilvl w:val="1"/>
                <w:numId w:val="39"/>
              </w:numPr>
              <w:snapToGrid w:val="0"/>
              <w:ind w:leftChars="0"/>
              <w:contextualSpacing/>
              <w:jc w:val="both"/>
              <w:rPr>
                <w:rFonts w:ascii="Times New Roman" w:hAnsi="Times New Roman"/>
                <w:szCs w:val="20"/>
                <w:lang w:eastAsia="zh-CN"/>
              </w:rPr>
            </w:pPr>
            <w:r w:rsidRPr="00521183">
              <w:rPr>
                <w:rFonts w:ascii="Times New Roman" w:hAnsi="Times New Roman"/>
                <w:szCs w:val="20"/>
                <w:lang w:eastAsia="zh-CN"/>
              </w:rPr>
              <w:t xml:space="preserve">The source reference signal(s) in N TCIs provide a reference for determining common UL TX spatial filter(s) at least for dynamic-grant/configured-grant based PUSCH, all or subset of dedicated PUCCH resources in a CC </w:t>
            </w:r>
          </w:p>
          <w:p w14:paraId="436EFD89" w14:textId="77777777" w:rsidR="00521183" w:rsidRPr="00521183" w:rsidRDefault="00521183" w:rsidP="00521183">
            <w:pPr>
              <w:pStyle w:val="ListParagraph"/>
              <w:numPr>
                <w:ilvl w:val="1"/>
                <w:numId w:val="39"/>
              </w:numPr>
              <w:snapToGrid w:val="0"/>
              <w:ind w:leftChars="0"/>
              <w:contextualSpacing/>
              <w:jc w:val="both"/>
              <w:rPr>
                <w:rFonts w:ascii="Times New Roman" w:hAnsi="Times New Roman"/>
                <w:szCs w:val="20"/>
                <w:lang w:eastAsia="zh-CN"/>
              </w:rPr>
            </w:pPr>
            <w:r w:rsidRPr="00521183">
              <w:rPr>
                <w:rFonts w:ascii="Times New Roman" w:hAnsi="Times New Roman"/>
                <w:szCs w:val="20"/>
                <w:lang w:eastAsia="zh-CN"/>
              </w:rPr>
              <w:t>Optionally, this UL TX spatial filter can also apply to all SRS resources in resource set(s) configured for antenna switching/codebook-based/non-codebook-based UL transmissions</w:t>
            </w:r>
          </w:p>
          <w:p w14:paraId="140152DB" w14:textId="77777777" w:rsidR="00521183" w:rsidRPr="00521183" w:rsidRDefault="00521183" w:rsidP="00521183">
            <w:pPr>
              <w:pStyle w:val="ListParagraph"/>
              <w:numPr>
                <w:ilvl w:val="0"/>
                <w:numId w:val="39"/>
              </w:numPr>
              <w:snapToGrid w:val="0"/>
              <w:ind w:leftChars="0"/>
              <w:jc w:val="both"/>
              <w:rPr>
                <w:rFonts w:ascii="Times New Roman" w:hAnsi="Times New Roman"/>
                <w:szCs w:val="20"/>
                <w:lang w:eastAsia="zh-CN"/>
              </w:rPr>
            </w:pPr>
            <w:r w:rsidRPr="00521183">
              <w:rPr>
                <w:rFonts w:ascii="Times New Roman" w:hAnsi="Times New Roman"/>
                <w:szCs w:val="20"/>
                <w:lang w:eastAsia="zh-CN"/>
              </w:rPr>
              <w:t>FFS: Whether the UL TCI state is taken from a common/same or separate TCI state pool from DL TCI state</w:t>
            </w:r>
          </w:p>
          <w:p w14:paraId="11D4461F" w14:textId="77777777" w:rsidR="00521183" w:rsidRPr="00521183" w:rsidRDefault="00521183" w:rsidP="00521183">
            <w:pPr>
              <w:pStyle w:val="ListParagraph"/>
              <w:numPr>
                <w:ilvl w:val="1"/>
                <w:numId w:val="39"/>
              </w:numPr>
              <w:snapToGrid w:val="0"/>
              <w:ind w:leftChars="0"/>
              <w:contextualSpacing/>
              <w:jc w:val="both"/>
              <w:rPr>
                <w:rFonts w:ascii="Times New Roman" w:hAnsi="Times New Roman"/>
                <w:szCs w:val="20"/>
                <w:lang w:eastAsia="zh-CN"/>
              </w:rPr>
            </w:pPr>
            <w:r w:rsidRPr="00521183">
              <w:rPr>
                <w:rFonts w:ascii="Times New Roman" w:hAnsi="Times New Roman"/>
                <w:szCs w:val="20"/>
                <w:lang w:eastAsia="zh-CN"/>
              </w:rPr>
              <w:t>Note that TCI state pool for joint DL and UL beam indication is still FFS</w:t>
            </w:r>
          </w:p>
          <w:p w14:paraId="1792CD55" w14:textId="77777777" w:rsidR="00521183" w:rsidRPr="00521183" w:rsidRDefault="00521183" w:rsidP="00521183">
            <w:pPr>
              <w:pStyle w:val="ListParagraph"/>
              <w:numPr>
                <w:ilvl w:val="0"/>
                <w:numId w:val="39"/>
              </w:numPr>
              <w:snapToGrid w:val="0"/>
              <w:ind w:leftChars="0"/>
              <w:jc w:val="both"/>
              <w:rPr>
                <w:rFonts w:ascii="Times New Roman" w:hAnsi="Times New Roman"/>
                <w:szCs w:val="20"/>
                <w:lang w:eastAsia="zh-CN"/>
              </w:rPr>
            </w:pPr>
            <w:r w:rsidRPr="00521183">
              <w:rPr>
                <w:rFonts w:ascii="Times New Roman" w:hAnsi="Times New Roman"/>
                <w:szCs w:val="20"/>
                <w:lang w:eastAsia="zh-CN"/>
              </w:rPr>
              <w:lastRenderedPageBreak/>
              <w:t xml:space="preserve">FFS: Whether Rel.17 supports TCI configured for single channel (e.g. PDSCH only, single CORESET) </w:t>
            </w:r>
          </w:p>
          <w:p w14:paraId="75DC06F3" w14:textId="77777777" w:rsidR="00521183" w:rsidRPr="00521183" w:rsidRDefault="00521183" w:rsidP="00521183">
            <w:pPr>
              <w:pStyle w:val="ListParagraph"/>
              <w:numPr>
                <w:ilvl w:val="0"/>
                <w:numId w:val="39"/>
              </w:numPr>
              <w:snapToGrid w:val="0"/>
              <w:ind w:leftChars="0"/>
              <w:jc w:val="both"/>
              <w:rPr>
                <w:rFonts w:ascii="Times New Roman" w:hAnsi="Times New Roman"/>
                <w:szCs w:val="20"/>
                <w:lang w:eastAsia="zh-CN"/>
              </w:rPr>
            </w:pPr>
            <w:r w:rsidRPr="00521183">
              <w:rPr>
                <w:rFonts w:ascii="Times New Roman" w:hAnsi="Times New Roman"/>
                <w:szCs w:val="20"/>
                <w:lang w:eastAsia="zh-CN"/>
              </w:rPr>
              <w:t>Note: This does not preclude the type of UE supporting only 1 beam tracking loop, i.e. UE reports value of 1 in UE FG 2-62.</w:t>
            </w:r>
          </w:p>
          <w:p w14:paraId="150386A6" w14:textId="77777777" w:rsidR="00521183" w:rsidRPr="00521183" w:rsidRDefault="00521183" w:rsidP="00521183">
            <w:pPr>
              <w:snapToGrid w:val="0"/>
              <w:jc w:val="both"/>
              <w:rPr>
                <w:b/>
                <w:bCs/>
                <w:sz w:val="20"/>
                <w:szCs w:val="20"/>
                <w:u w:val="single"/>
                <w:lang w:eastAsia="ko-KR"/>
              </w:rPr>
            </w:pPr>
          </w:p>
          <w:p w14:paraId="43515736" w14:textId="77777777" w:rsidR="00521183" w:rsidRPr="00521183" w:rsidRDefault="00521183" w:rsidP="00521183">
            <w:pPr>
              <w:snapToGrid w:val="0"/>
              <w:jc w:val="both"/>
              <w:rPr>
                <w:sz w:val="20"/>
                <w:szCs w:val="20"/>
              </w:rPr>
            </w:pPr>
            <w:r w:rsidRPr="00521183">
              <w:rPr>
                <w:b/>
                <w:bCs/>
                <w:sz w:val="20"/>
                <w:szCs w:val="20"/>
                <w:highlight w:val="green"/>
              </w:rPr>
              <w:t>Agreement</w:t>
            </w:r>
          </w:p>
          <w:p w14:paraId="228B8258" w14:textId="77777777" w:rsidR="00521183" w:rsidRPr="00521183" w:rsidRDefault="00521183" w:rsidP="00521183">
            <w:pPr>
              <w:snapToGrid w:val="0"/>
              <w:jc w:val="both"/>
              <w:rPr>
                <w:sz w:val="20"/>
                <w:szCs w:val="20"/>
              </w:rPr>
            </w:pPr>
            <w:r w:rsidRPr="00521183">
              <w:rPr>
                <w:sz w:val="20"/>
                <w:szCs w:val="20"/>
              </w:rPr>
              <w:t xml:space="preserve">On Rel-17 enhancements to enable L1/L2-centric inter-cell mobility: </w:t>
            </w:r>
          </w:p>
          <w:p w14:paraId="5D1427A2" w14:textId="77777777" w:rsidR="00521183" w:rsidRPr="00521183" w:rsidRDefault="00521183" w:rsidP="00521183">
            <w:pPr>
              <w:pStyle w:val="ListParagraph"/>
              <w:numPr>
                <w:ilvl w:val="0"/>
                <w:numId w:val="40"/>
              </w:numPr>
              <w:snapToGrid w:val="0"/>
              <w:ind w:leftChars="0"/>
              <w:jc w:val="both"/>
              <w:rPr>
                <w:rFonts w:ascii="Times New Roman" w:hAnsi="Times New Roman"/>
                <w:szCs w:val="20"/>
              </w:rPr>
            </w:pPr>
            <w:r w:rsidRPr="00521183">
              <w:rPr>
                <w:rFonts w:ascii="Times New Roman" w:hAnsi="Times New Roman"/>
                <w:szCs w:val="20"/>
              </w:rPr>
              <w:t xml:space="preserve">The following use cases are assumed: </w:t>
            </w:r>
          </w:p>
          <w:p w14:paraId="69415E7F"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Network architecture: </w:t>
            </w:r>
          </w:p>
          <w:p w14:paraId="0BD31684"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NSA, i.e. LTE PCell and NR-PSCell </w:t>
            </w:r>
          </w:p>
          <w:p w14:paraId="3C137A67"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SA</w:t>
            </w:r>
          </w:p>
          <w:p w14:paraId="524BA0F3"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Intra-band CA </w:t>
            </w:r>
          </w:p>
          <w:p w14:paraId="3A6A7AD2"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If inter-band CA is also included</w:t>
            </w:r>
          </w:p>
          <w:p w14:paraId="21F69D63"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Intra- RAT (excluding inter-RAT) </w:t>
            </w:r>
          </w:p>
          <w:p w14:paraId="0D00A34E"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Intra-frequency scenario: </w:t>
            </w:r>
          </w:p>
          <w:p w14:paraId="6C858D9F"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The SSBs of non-serving cells have the same center frequency and SCS as the SSBs of the serving cell</w:t>
            </w:r>
          </w:p>
          <w:p w14:paraId="5A9705FF"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An SSB of a non-serving cell is associated with a PCI different from the PCI of the serving cell</w:t>
            </w:r>
          </w:p>
          <w:p w14:paraId="6ECDDD94"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Support for inter-frequency scenario</w:t>
            </w:r>
          </w:p>
          <w:p w14:paraId="6ABA5DB7"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FFS: Whether to support intra-DU only operation, or whether inter-DU is also allowed</w:t>
            </w:r>
          </w:p>
          <w:p w14:paraId="0AAA2580" w14:textId="77777777" w:rsidR="00521183" w:rsidRPr="00521183" w:rsidRDefault="00521183" w:rsidP="00521183">
            <w:pPr>
              <w:pStyle w:val="ListParagraph"/>
              <w:numPr>
                <w:ilvl w:val="0"/>
                <w:numId w:val="40"/>
              </w:numPr>
              <w:snapToGrid w:val="0"/>
              <w:ind w:leftChars="0"/>
              <w:jc w:val="both"/>
              <w:rPr>
                <w:rFonts w:ascii="Times New Roman" w:hAnsi="Times New Roman"/>
                <w:szCs w:val="20"/>
              </w:rPr>
            </w:pPr>
            <w:r w:rsidRPr="00521183">
              <w:rPr>
                <w:rFonts w:ascii="Times New Roman" w:hAnsi="Times New Roman"/>
                <w:szCs w:val="20"/>
              </w:rPr>
              <w:t xml:space="preserve">The following enhancement scope is assumed: </w:t>
            </w:r>
          </w:p>
          <w:p w14:paraId="3C6D682E"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Facilitating measurement and reporting of non-serving RSs via incorporating non-serving cell info with some TCI(s), along with the necessary measurement and reporting scheme(s) </w:t>
            </w:r>
          </w:p>
          <w:p w14:paraId="4C428DE4"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Detailed/exact method(s)</w:t>
            </w:r>
          </w:p>
          <w:p w14:paraId="304A5439"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Whether this also implies the support of beam indication (TCI state update along with the necessary TCI state activation) for TCI(s) associated with non-serving cell RS(s)</w:t>
            </w:r>
          </w:p>
          <w:p w14:paraId="2E8DD3DE"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Metric for the measurement and reporting, e.g. L1-RSRP or L3-RSRP or time- or spatial-domain-filtered L1-RSRP</w:t>
            </w:r>
          </w:p>
          <w:p w14:paraId="1205B83A"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Beam-level event-driven mechanism, using serving cell RS and/or non-serving cell RS</w:t>
            </w:r>
          </w:p>
          <w:p w14:paraId="007954FA"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Facilitate serving cell to provide configurations for non-serving cell SSBs via RRC </w:t>
            </w:r>
          </w:p>
          <w:p w14:paraId="49BDAE5F"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details for the configurations, e.g. time/frequency location, transmission power, etc.</w:t>
            </w:r>
          </w:p>
          <w:p w14:paraId="0CD74B28"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FFS: other information needed for inter-cell mobility</w:t>
            </w:r>
          </w:p>
          <w:p w14:paraId="3A6AF7E7"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Note: In RAN1's understanding, non-serving cell SSB and non-serving cell RS can be part of the serving cell configuration</w:t>
            </w:r>
          </w:p>
          <w:p w14:paraId="34B51F80" w14:textId="77777777" w:rsidR="00521183" w:rsidRPr="00521183" w:rsidRDefault="00521183" w:rsidP="00521183">
            <w:pPr>
              <w:pStyle w:val="ListParagraph"/>
              <w:numPr>
                <w:ilvl w:val="0"/>
                <w:numId w:val="40"/>
              </w:numPr>
              <w:snapToGrid w:val="0"/>
              <w:ind w:leftChars="0"/>
              <w:contextualSpacing/>
              <w:jc w:val="both"/>
              <w:rPr>
                <w:rFonts w:ascii="Times New Roman" w:hAnsi="Times New Roman"/>
                <w:szCs w:val="20"/>
                <w:lang w:val="en-US" w:eastAsia="ko-KR"/>
              </w:rPr>
            </w:pPr>
            <w:r w:rsidRPr="00521183">
              <w:rPr>
                <w:rFonts w:ascii="Times New Roman" w:hAnsi="Times New Roman"/>
                <w:szCs w:val="20"/>
              </w:rPr>
              <w:t xml:space="preserve">FFS: The following enhancement scope is assumed by RAN1: </w:t>
            </w:r>
          </w:p>
          <w:p w14:paraId="23864F63"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Whether RRC reconfiguration signaling is needed or not when a TCI associated with non-serving cell RS is indicated </w:t>
            </w:r>
          </w:p>
          <w:p w14:paraId="72A0534A"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A non-serving cell RS is an RS that is or has an SSB of a non-serving cell as direct or indirect QCL source </w:t>
            </w:r>
          </w:p>
          <w:p w14:paraId="0BA84548"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rPr>
              <w:t xml:space="preserve">This implies no C-RNTI update when UE receives DL channel RS associated to non-serving cell RS as QCL source. </w:t>
            </w:r>
          </w:p>
          <w:p w14:paraId="51769753" w14:textId="77777777" w:rsidR="00521183" w:rsidRPr="00521183" w:rsidRDefault="00521183" w:rsidP="00521183">
            <w:pPr>
              <w:pStyle w:val="ListParagraph"/>
              <w:numPr>
                <w:ilvl w:val="2"/>
                <w:numId w:val="40"/>
              </w:numPr>
              <w:snapToGrid w:val="0"/>
              <w:ind w:leftChars="0"/>
              <w:contextualSpacing/>
              <w:jc w:val="both"/>
              <w:rPr>
                <w:rFonts w:ascii="Times New Roman" w:hAnsi="Times New Roman"/>
                <w:szCs w:val="20"/>
              </w:rPr>
            </w:pPr>
            <w:r w:rsidRPr="00521183">
              <w:rPr>
                <w:rFonts w:ascii="Times New Roman" w:hAnsi="Times New Roman"/>
                <w:szCs w:val="20"/>
                <w:lang w:eastAsia="zh-CN"/>
              </w:rPr>
              <w:t>FFS whether TCI associated with non-serving cell can be indicated to or are applicable for all channels.</w:t>
            </w:r>
          </w:p>
          <w:p w14:paraId="4D981F85"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lang w:eastAsia="zh-CN"/>
              </w:rPr>
              <w:t>Whether some RRC parameters need to be updated without additional RRC signaling, e.g. some RRC parameters are pre-configured, which are associated with TCI states with neighbor cell RS as QCL source</w:t>
            </w:r>
          </w:p>
          <w:p w14:paraId="5FFE1F62"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lang w:eastAsia="zh-CN"/>
              </w:rPr>
              <w:t>Whether UE needs/can change serving cell during L1/L2-centric inter-cell mobility.</w:t>
            </w:r>
          </w:p>
          <w:p w14:paraId="3306EC49" w14:textId="77777777" w:rsidR="00521183" w:rsidRPr="00521183" w:rsidRDefault="00521183" w:rsidP="00521183">
            <w:pPr>
              <w:pStyle w:val="ListParagraph"/>
              <w:numPr>
                <w:ilvl w:val="1"/>
                <w:numId w:val="40"/>
              </w:numPr>
              <w:snapToGrid w:val="0"/>
              <w:ind w:leftChars="0"/>
              <w:contextualSpacing/>
              <w:jc w:val="both"/>
              <w:rPr>
                <w:rFonts w:ascii="Times New Roman" w:hAnsi="Times New Roman"/>
                <w:szCs w:val="20"/>
              </w:rPr>
            </w:pPr>
            <w:r w:rsidRPr="00521183">
              <w:rPr>
                <w:rFonts w:ascii="Times New Roman" w:hAnsi="Times New Roman"/>
                <w:szCs w:val="20"/>
              </w:rPr>
              <w:t>The above assumption to be verified by RAN2</w:t>
            </w:r>
          </w:p>
          <w:p w14:paraId="2BA385C3" w14:textId="77777777" w:rsidR="00521183" w:rsidRPr="00521183" w:rsidRDefault="00521183" w:rsidP="00521183">
            <w:pPr>
              <w:rPr>
                <w:color w:val="1F497D"/>
                <w:sz w:val="20"/>
                <w:szCs w:val="20"/>
              </w:rPr>
            </w:pPr>
          </w:p>
          <w:p w14:paraId="3B4F4A21" w14:textId="77777777" w:rsidR="00521183" w:rsidRPr="00521183" w:rsidRDefault="00521183" w:rsidP="00521183">
            <w:pPr>
              <w:snapToGrid w:val="0"/>
              <w:jc w:val="both"/>
              <w:rPr>
                <w:b/>
                <w:bCs/>
                <w:sz w:val="20"/>
                <w:szCs w:val="20"/>
              </w:rPr>
            </w:pPr>
            <w:r w:rsidRPr="00521183">
              <w:rPr>
                <w:b/>
                <w:bCs/>
                <w:sz w:val="20"/>
                <w:szCs w:val="20"/>
              </w:rPr>
              <w:t>Conclusion</w:t>
            </w:r>
          </w:p>
          <w:p w14:paraId="6BDBA7FB" w14:textId="77777777" w:rsidR="00521183" w:rsidRPr="00521183" w:rsidRDefault="00521183" w:rsidP="00521183">
            <w:pPr>
              <w:snapToGrid w:val="0"/>
              <w:jc w:val="both"/>
              <w:rPr>
                <w:sz w:val="20"/>
                <w:szCs w:val="20"/>
              </w:rPr>
            </w:pPr>
            <w:r w:rsidRPr="00521183">
              <w:rPr>
                <w:sz w:val="20"/>
                <w:szCs w:val="20"/>
              </w:rPr>
              <w:t>There is no consensus in RAN1 to include the following as part of RAN1 agreement for AI 8.1.1 in RAN1 #103e:</w:t>
            </w:r>
          </w:p>
          <w:p w14:paraId="64C839C6" w14:textId="77777777" w:rsidR="00521183" w:rsidRPr="00521183" w:rsidRDefault="00521183" w:rsidP="00521183">
            <w:pPr>
              <w:pStyle w:val="ListParagraph"/>
              <w:numPr>
                <w:ilvl w:val="0"/>
                <w:numId w:val="40"/>
              </w:numPr>
              <w:snapToGrid w:val="0"/>
              <w:ind w:leftChars="0"/>
              <w:jc w:val="both"/>
              <w:rPr>
                <w:rFonts w:ascii="Times New Roman" w:hAnsi="Times New Roman"/>
                <w:szCs w:val="20"/>
              </w:rPr>
            </w:pPr>
            <w:r w:rsidRPr="00521183">
              <w:rPr>
                <w:rFonts w:ascii="Times New Roman" w:hAnsi="Times New Roman"/>
                <w:szCs w:val="20"/>
              </w:rPr>
              <w:t xml:space="preserve">FFS beam indication for the TCI state assumption/update for the following cases: </w:t>
            </w:r>
          </w:p>
          <w:p w14:paraId="705D48DA" w14:textId="77777777" w:rsidR="00521183" w:rsidRPr="00521183" w:rsidRDefault="00521183" w:rsidP="00521183">
            <w:pPr>
              <w:pStyle w:val="ListParagraph"/>
              <w:numPr>
                <w:ilvl w:val="1"/>
                <w:numId w:val="40"/>
              </w:numPr>
              <w:snapToGrid w:val="0"/>
              <w:ind w:leftChars="0"/>
              <w:jc w:val="both"/>
              <w:rPr>
                <w:rFonts w:ascii="Times New Roman" w:hAnsi="Times New Roman"/>
                <w:szCs w:val="20"/>
              </w:rPr>
            </w:pPr>
            <w:r w:rsidRPr="00521183">
              <w:rPr>
                <w:rFonts w:ascii="Times New Roman" w:hAnsi="Times New Roman"/>
                <w:szCs w:val="20"/>
              </w:rPr>
              <w:t>The beam indication UE-specific DCI (i.e. the CORESETs with the DCI received by UE), the scheduled PDSCH by the DCI and the associated PUCCH for the acknowledgment of the beam indication DCI</w:t>
            </w:r>
          </w:p>
          <w:p w14:paraId="45C0D0ED" w14:textId="77777777" w:rsidR="00521183" w:rsidRPr="00521183" w:rsidRDefault="00521183" w:rsidP="00521183">
            <w:pPr>
              <w:pStyle w:val="ListParagraph"/>
              <w:numPr>
                <w:ilvl w:val="1"/>
                <w:numId w:val="40"/>
              </w:numPr>
              <w:snapToGrid w:val="0"/>
              <w:ind w:leftChars="0"/>
              <w:jc w:val="both"/>
              <w:rPr>
                <w:rFonts w:ascii="Times New Roman" w:hAnsi="Times New Roman"/>
                <w:szCs w:val="20"/>
              </w:rPr>
            </w:pPr>
            <w:r w:rsidRPr="00521183">
              <w:rPr>
                <w:rFonts w:ascii="Times New Roman" w:hAnsi="Times New Roman"/>
                <w:szCs w:val="20"/>
              </w:rPr>
              <w:lastRenderedPageBreak/>
              <w:t xml:space="preserve">Non-UE-specific CORESETs and PUSCH/PDSCH scheduled/activated and PUCCH transmission triggered by non-UE-specific CORESETs  </w:t>
            </w:r>
          </w:p>
          <w:p w14:paraId="111BE626" w14:textId="77777777" w:rsidR="00521183" w:rsidRPr="00521183" w:rsidRDefault="00521183" w:rsidP="00521183">
            <w:pPr>
              <w:snapToGrid w:val="0"/>
              <w:jc w:val="both"/>
              <w:rPr>
                <w:sz w:val="20"/>
                <w:szCs w:val="20"/>
              </w:rPr>
            </w:pPr>
          </w:p>
          <w:p w14:paraId="7658EF4E" w14:textId="77777777" w:rsidR="00521183" w:rsidRPr="00521183" w:rsidRDefault="00521183" w:rsidP="00521183">
            <w:pPr>
              <w:snapToGrid w:val="0"/>
              <w:jc w:val="both"/>
              <w:rPr>
                <w:sz w:val="20"/>
                <w:szCs w:val="20"/>
              </w:rPr>
            </w:pPr>
            <w:r w:rsidRPr="00521183">
              <w:rPr>
                <w:b/>
                <w:bCs/>
                <w:sz w:val="20"/>
                <w:szCs w:val="20"/>
                <w:highlight w:val="green"/>
              </w:rPr>
              <w:t>Agreement</w:t>
            </w:r>
          </w:p>
          <w:p w14:paraId="4CE189AF" w14:textId="77777777" w:rsidR="00521183" w:rsidRPr="00521183" w:rsidRDefault="00521183" w:rsidP="00521183">
            <w:pPr>
              <w:snapToGrid w:val="0"/>
              <w:jc w:val="both"/>
              <w:rPr>
                <w:sz w:val="20"/>
                <w:szCs w:val="20"/>
              </w:rPr>
            </w:pPr>
            <w:r w:rsidRPr="00521183">
              <w:rPr>
                <w:sz w:val="20"/>
                <w:szCs w:val="20"/>
              </w:rPr>
              <w:t>In Rel-17 enhancement for facilitating fast uplink panel selection, the following use cases are assumed:</w:t>
            </w:r>
          </w:p>
          <w:p w14:paraId="036BCC47"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MPE mitigation</w:t>
            </w:r>
          </w:p>
          <w:p w14:paraId="59888121"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UE power saving</w:t>
            </w:r>
          </w:p>
          <w:p w14:paraId="64CEB7D0"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UL interference management</w:t>
            </w:r>
          </w:p>
          <w:p w14:paraId="696E84D2"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Support different configurations across panels</w:t>
            </w:r>
          </w:p>
          <w:p w14:paraId="4FEA5975"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 xml:space="preserve">UL mTRP </w:t>
            </w:r>
          </w:p>
          <w:p w14:paraId="6C76D04B" w14:textId="77777777" w:rsidR="00521183" w:rsidRPr="00521183" w:rsidRDefault="00521183" w:rsidP="00521183">
            <w:pPr>
              <w:snapToGrid w:val="0"/>
              <w:jc w:val="both"/>
              <w:rPr>
                <w:sz w:val="20"/>
                <w:szCs w:val="20"/>
              </w:rPr>
            </w:pPr>
          </w:p>
          <w:p w14:paraId="2521B194" w14:textId="77777777" w:rsidR="00521183" w:rsidRPr="00521183" w:rsidRDefault="00521183" w:rsidP="00521183">
            <w:pPr>
              <w:shd w:val="clear" w:color="auto" w:fill="FFFFFF"/>
              <w:jc w:val="both"/>
              <w:rPr>
                <w:b/>
                <w:bCs/>
                <w:sz w:val="20"/>
                <w:szCs w:val="20"/>
              </w:rPr>
            </w:pPr>
            <w:r w:rsidRPr="00521183">
              <w:rPr>
                <w:b/>
                <w:bCs/>
                <w:sz w:val="20"/>
                <w:szCs w:val="20"/>
                <w:highlight w:val="green"/>
              </w:rPr>
              <w:t>Agreement</w:t>
            </w:r>
          </w:p>
          <w:p w14:paraId="18A636A3" w14:textId="77777777" w:rsidR="00521183" w:rsidRPr="00521183" w:rsidRDefault="00521183" w:rsidP="00521183">
            <w:pPr>
              <w:shd w:val="clear" w:color="auto" w:fill="FFFFFF"/>
              <w:jc w:val="both"/>
              <w:rPr>
                <w:sz w:val="20"/>
                <w:szCs w:val="20"/>
              </w:rPr>
            </w:pPr>
            <w:r w:rsidRPr="00521183">
              <w:rPr>
                <w:sz w:val="20"/>
                <w:szCs w:val="20"/>
              </w:rPr>
              <w:t>In Rel-17 enhancement on MP-UE to facilitate fast UL panel selection and MPE mitigation, UL Tx panel(s) are assumed to be a same set or subset of DL Rx panel(s)</w:t>
            </w:r>
          </w:p>
          <w:p w14:paraId="3B8AC3B6" w14:textId="77777777" w:rsidR="00521183" w:rsidRPr="00521183" w:rsidRDefault="00521183" w:rsidP="00521183">
            <w:pPr>
              <w:shd w:val="clear" w:color="auto" w:fill="FFFFFF"/>
              <w:jc w:val="both"/>
              <w:rPr>
                <w:sz w:val="20"/>
                <w:szCs w:val="20"/>
              </w:rPr>
            </w:pPr>
          </w:p>
          <w:p w14:paraId="5582F54F" w14:textId="77777777" w:rsidR="00521183" w:rsidRPr="00521183" w:rsidRDefault="00521183" w:rsidP="00521183">
            <w:pPr>
              <w:shd w:val="clear" w:color="auto" w:fill="FFFFFF"/>
              <w:jc w:val="both"/>
              <w:rPr>
                <w:b/>
                <w:bCs/>
                <w:sz w:val="20"/>
                <w:szCs w:val="20"/>
              </w:rPr>
            </w:pPr>
            <w:r w:rsidRPr="00521183">
              <w:rPr>
                <w:b/>
                <w:bCs/>
                <w:sz w:val="20"/>
                <w:szCs w:val="20"/>
                <w:highlight w:val="green"/>
              </w:rPr>
              <w:t>Agreement</w:t>
            </w:r>
          </w:p>
          <w:p w14:paraId="1C09A986" w14:textId="77777777" w:rsidR="00521183" w:rsidRPr="00521183" w:rsidRDefault="00521183" w:rsidP="00521183">
            <w:pPr>
              <w:snapToGrid w:val="0"/>
              <w:jc w:val="both"/>
              <w:rPr>
                <w:sz w:val="20"/>
                <w:szCs w:val="20"/>
              </w:rPr>
            </w:pPr>
            <w:r w:rsidRPr="00521183">
              <w:rPr>
                <w:sz w:val="20"/>
                <w:szCs w:val="20"/>
              </w:rPr>
              <w:t>In Rel.17 enhancement for facilitating fast uplink panel selection, UE-initiated UL panel selection/activation are supported:</w:t>
            </w:r>
          </w:p>
          <w:p w14:paraId="39B93AA5"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FFS: Whether NW-initiated panel selection/activation is also supported</w:t>
            </w:r>
          </w:p>
          <w:p w14:paraId="120B91ED"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FFS: Whether specification support for this feature is necessary and if so the details of such spec support.</w:t>
            </w:r>
          </w:p>
          <w:p w14:paraId="60E9FD99" w14:textId="77777777" w:rsidR="00521183" w:rsidRPr="00521183" w:rsidRDefault="00521183" w:rsidP="00521183">
            <w:pPr>
              <w:snapToGrid w:val="0"/>
              <w:jc w:val="both"/>
              <w:rPr>
                <w:sz w:val="20"/>
                <w:szCs w:val="20"/>
              </w:rPr>
            </w:pPr>
          </w:p>
          <w:p w14:paraId="0BB2C1E2" w14:textId="77777777" w:rsidR="00521183" w:rsidRPr="00521183" w:rsidRDefault="00521183" w:rsidP="00521183">
            <w:pPr>
              <w:shd w:val="clear" w:color="auto" w:fill="FFFFFF"/>
              <w:jc w:val="both"/>
              <w:rPr>
                <w:b/>
                <w:bCs/>
                <w:sz w:val="20"/>
                <w:szCs w:val="20"/>
              </w:rPr>
            </w:pPr>
            <w:r w:rsidRPr="00521183">
              <w:rPr>
                <w:b/>
                <w:bCs/>
                <w:sz w:val="20"/>
                <w:szCs w:val="20"/>
                <w:highlight w:val="green"/>
              </w:rPr>
              <w:t>Agreement</w:t>
            </w:r>
          </w:p>
          <w:p w14:paraId="63C4B2C5" w14:textId="77777777" w:rsidR="00521183" w:rsidRPr="00521183" w:rsidRDefault="00521183" w:rsidP="00521183">
            <w:pPr>
              <w:snapToGrid w:val="0"/>
              <w:jc w:val="both"/>
              <w:rPr>
                <w:sz w:val="20"/>
                <w:szCs w:val="20"/>
              </w:rPr>
            </w:pPr>
            <w:r w:rsidRPr="00521183">
              <w:rPr>
                <w:sz w:val="20"/>
                <w:szCs w:val="20"/>
              </w:rPr>
              <w:t>On UE reporting for MPE mitigation for Rel-17, investigate and, if needed, specify the following:</w:t>
            </w:r>
          </w:p>
          <w:p w14:paraId="0C0B2E33"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Reporting of P-MPR report based on Rel.16 framework.</w:t>
            </w:r>
          </w:p>
          <w:p w14:paraId="23F80CF5" w14:textId="77777777" w:rsidR="00521183" w:rsidRPr="00521183" w:rsidRDefault="00521183" w:rsidP="00521183">
            <w:pPr>
              <w:pStyle w:val="ListParagraph"/>
              <w:numPr>
                <w:ilvl w:val="1"/>
                <w:numId w:val="41"/>
              </w:numPr>
              <w:snapToGrid w:val="0"/>
              <w:ind w:leftChars="0"/>
              <w:jc w:val="both"/>
              <w:rPr>
                <w:rFonts w:ascii="Times New Roman" w:hAnsi="Times New Roman"/>
                <w:szCs w:val="20"/>
              </w:rPr>
            </w:pPr>
            <w:r w:rsidRPr="00521183">
              <w:rPr>
                <w:rFonts w:ascii="Times New Roman" w:hAnsi="Times New Roman"/>
                <w:szCs w:val="20"/>
              </w:rPr>
              <w:t>FFS: Whether panel/beam level based P-MPR report is supported</w:t>
            </w:r>
          </w:p>
          <w:p w14:paraId="7E15CFD8" w14:textId="77777777" w:rsidR="00521183" w:rsidRPr="00521183" w:rsidRDefault="00521183" w:rsidP="00521183">
            <w:pPr>
              <w:pStyle w:val="ListParagraph"/>
              <w:numPr>
                <w:ilvl w:val="1"/>
                <w:numId w:val="41"/>
              </w:numPr>
              <w:snapToGrid w:val="0"/>
              <w:ind w:leftChars="0"/>
              <w:jc w:val="both"/>
              <w:rPr>
                <w:rFonts w:ascii="Times New Roman" w:hAnsi="Times New Roman"/>
                <w:szCs w:val="20"/>
              </w:rPr>
            </w:pPr>
            <w:r w:rsidRPr="00521183">
              <w:rPr>
                <w:rFonts w:ascii="Times New Roman" w:hAnsi="Times New Roman"/>
                <w:szCs w:val="20"/>
              </w:rPr>
              <w:t xml:space="preserve">FFS: Maximum reported number of panels, e.g. single or multiple  </w:t>
            </w:r>
          </w:p>
          <w:p w14:paraId="25D37E31"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Reporting SSBRI(s)/CRI(s) and/or indication of panel selection for the purpose of indicating:</w:t>
            </w:r>
          </w:p>
          <w:p w14:paraId="3D9CE6DB" w14:textId="77777777" w:rsidR="00521183" w:rsidRPr="00521183" w:rsidRDefault="00521183" w:rsidP="00521183">
            <w:pPr>
              <w:pStyle w:val="ListParagraph"/>
              <w:numPr>
                <w:ilvl w:val="1"/>
                <w:numId w:val="41"/>
              </w:numPr>
              <w:snapToGrid w:val="0"/>
              <w:ind w:leftChars="0"/>
              <w:jc w:val="both"/>
              <w:rPr>
                <w:rFonts w:ascii="Times New Roman" w:hAnsi="Times New Roman"/>
                <w:szCs w:val="20"/>
              </w:rPr>
            </w:pPr>
            <w:r w:rsidRPr="00521183">
              <w:rPr>
                <w:rFonts w:ascii="Times New Roman" w:hAnsi="Times New Roman"/>
                <w:szCs w:val="20"/>
              </w:rPr>
              <w:t>Alt1: alternative UE panel(s) or TX beam(s) for UL transmission</w:t>
            </w:r>
          </w:p>
          <w:p w14:paraId="47513D38" w14:textId="77777777" w:rsidR="00521183" w:rsidRPr="00521183" w:rsidRDefault="00521183" w:rsidP="00521183">
            <w:pPr>
              <w:pStyle w:val="ListParagraph"/>
              <w:numPr>
                <w:ilvl w:val="1"/>
                <w:numId w:val="41"/>
              </w:numPr>
              <w:snapToGrid w:val="0"/>
              <w:ind w:leftChars="0"/>
              <w:jc w:val="both"/>
              <w:rPr>
                <w:rFonts w:ascii="Times New Roman" w:hAnsi="Times New Roman"/>
                <w:szCs w:val="20"/>
              </w:rPr>
            </w:pPr>
            <w:r w:rsidRPr="00521183">
              <w:rPr>
                <w:rFonts w:ascii="Times New Roman" w:hAnsi="Times New Roman"/>
                <w:szCs w:val="20"/>
              </w:rPr>
              <w:t>Alt2: feasible UE panel(s) or TX beam(s) for UL transmission taking the MPE effect into account</w:t>
            </w:r>
          </w:p>
          <w:p w14:paraId="12A66922" w14:textId="77777777" w:rsidR="00521183" w:rsidRPr="00521183" w:rsidRDefault="00521183" w:rsidP="00521183">
            <w:pPr>
              <w:pStyle w:val="ListParagraph"/>
              <w:numPr>
                <w:ilvl w:val="1"/>
                <w:numId w:val="41"/>
              </w:numPr>
              <w:snapToGrid w:val="0"/>
              <w:ind w:leftChars="0"/>
              <w:jc w:val="both"/>
              <w:rPr>
                <w:rFonts w:ascii="Times New Roman" w:hAnsi="Times New Roman"/>
                <w:szCs w:val="20"/>
              </w:rPr>
            </w:pPr>
            <w:r w:rsidRPr="00521183">
              <w:rPr>
                <w:rFonts w:ascii="Times New Roman" w:hAnsi="Times New Roman"/>
                <w:szCs w:val="20"/>
              </w:rPr>
              <w:t>FFS: indication of panel selection details (e.g. explicit/implicit)</w:t>
            </w:r>
          </w:p>
          <w:p w14:paraId="151C0463" w14:textId="77777777" w:rsidR="00521183" w:rsidRPr="00521183" w:rsidRDefault="00521183" w:rsidP="00521183">
            <w:pPr>
              <w:pStyle w:val="ListParagraph"/>
              <w:numPr>
                <w:ilvl w:val="0"/>
                <w:numId w:val="41"/>
              </w:numPr>
              <w:snapToGrid w:val="0"/>
              <w:ind w:leftChars="0"/>
              <w:contextualSpacing/>
              <w:jc w:val="both"/>
              <w:rPr>
                <w:rFonts w:ascii="Times New Roman" w:hAnsi="Times New Roman"/>
                <w:szCs w:val="20"/>
                <w:lang w:val="en-US" w:eastAsia="ko-KR"/>
              </w:rPr>
            </w:pPr>
            <w:r w:rsidRPr="00521183">
              <w:rPr>
                <w:rFonts w:ascii="Times New Roman" w:hAnsi="Times New Roman"/>
                <w:szCs w:val="20"/>
              </w:rPr>
              <w:t xml:space="preserve">Any additional reporting content: down-select from the following in RAN1#104-e </w:t>
            </w:r>
          </w:p>
          <w:p w14:paraId="6EE104EE" w14:textId="77777777" w:rsidR="00521183" w:rsidRPr="00521183" w:rsidRDefault="00521183" w:rsidP="00521183">
            <w:pPr>
              <w:pStyle w:val="ListParagraph"/>
              <w:numPr>
                <w:ilvl w:val="1"/>
                <w:numId w:val="41"/>
              </w:numPr>
              <w:snapToGrid w:val="0"/>
              <w:ind w:leftChars="0"/>
              <w:contextualSpacing/>
              <w:jc w:val="both"/>
              <w:rPr>
                <w:rFonts w:ascii="Times New Roman" w:hAnsi="Times New Roman"/>
                <w:szCs w:val="20"/>
              </w:rPr>
            </w:pPr>
            <w:r w:rsidRPr="00521183">
              <w:rPr>
                <w:rFonts w:ascii="Times New Roman" w:hAnsi="Times New Roman"/>
                <w:szCs w:val="20"/>
              </w:rPr>
              <w:t>Alt0: no additional reporting content</w:t>
            </w:r>
          </w:p>
          <w:p w14:paraId="49871CCA" w14:textId="77777777" w:rsidR="00521183" w:rsidRPr="00521183" w:rsidRDefault="00521183" w:rsidP="00521183">
            <w:pPr>
              <w:pStyle w:val="ListParagraph"/>
              <w:numPr>
                <w:ilvl w:val="1"/>
                <w:numId w:val="41"/>
              </w:numPr>
              <w:snapToGrid w:val="0"/>
              <w:ind w:leftChars="0"/>
              <w:contextualSpacing/>
              <w:jc w:val="both"/>
              <w:rPr>
                <w:rFonts w:ascii="Times New Roman" w:hAnsi="Times New Roman"/>
                <w:szCs w:val="20"/>
              </w:rPr>
            </w:pPr>
            <w:r w:rsidRPr="00521183">
              <w:rPr>
                <w:rFonts w:ascii="Times New Roman" w:hAnsi="Times New Roman"/>
                <w:szCs w:val="20"/>
              </w:rPr>
              <w:t xml:space="preserve">Alt1: Additional reporting content is included (for example P-MPR + L1-RSRP, virtual PHR + L1-RSRP, L1-RSRP/SINR with and without MPE effect, virtual PHR, P-MPR or virtual PHR + CRI/SSBRI, estimated max UL RSRP) </w:t>
            </w:r>
          </w:p>
          <w:p w14:paraId="5F6854D0" w14:textId="77777777" w:rsidR="00521183" w:rsidRPr="00521183" w:rsidRDefault="00521183" w:rsidP="00521183">
            <w:pPr>
              <w:pStyle w:val="ListParagraph"/>
              <w:numPr>
                <w:ilvl w:val="2"/>
                <w:numId w:val="41"/>
              </w:numPr>
              <w:snapToGrid w:val="0"/>
              <w:ind w:leftChars="0"/>
              <w:contextualSpacing/>
              <w:jc w:val="both"/>
              <w:rPr>
                <w:rFonts w:ascii="Times New Roman" w:hAnsi="Times New Roman"/>
                <w:szCs w:val="20"/>
              </w:rPr>
            </w:pPr>
            <w:r w:rsidRPr="00521183">
              <w:rPr>
                <w:rFonts w:ascii="Times New Roman" w:hAnsi="Times New Roman"/>
                <w:szCs w:val="20"/>
              </w:rPr>
              <w:t>Note: Other options are not precluded</w:t>
            </w:r>
          </w:p>
          <w:p w14:paraId="408A8AD3" w14:textId="77777777" w:rsidR="00521183" w:rsidRPr="00521183" w:rsidRDefault="00521183" w:rsidP="00521183">
            <w:pPr>
              <w:pStyle w:val="ListParagraph"/>
              <w:numPr>
                <w:ilvl w:val="2"/>
                <w:numId w:val="41"/>
              </w:numPr>
              <w:snapToGrid w:val="0"/>
              <w:ind w:leftChars="0"/>
              <w:contextualSpacing/>
              <w:jc w:val="both"/>
              <w:rPr>
                <w:rFonts w:ascii="Times New Roman" w:hAnsi="Times New Roman"/>
                <w:szCs w:val="20"/>
              </w:rPr>
            </w:pPr>
            <w:r w:rsidRPr="00521183">
              <w:rPr>
                <w:rFonts w:ascii="Times New Roman" w:hAnsi="Times New Roman"/>
                <w:szCs w:val="20"/>
              </w:rPr>
              <w:t>FFS: Whether the above reporting is triggered by UE or configured by NW</w:t>
            </w:r>
          </w:p>
          <w:p w14:paraId="1DFCA3A3" w14:textId="77777777" w:rsidR="00521183" w:rsidRPr="00521183" w:rsidRDefault="00521183" w:rsidP="00521183">
            <w:pPr>
              <w:rPr>
                <w:color w:val="1F497D"/>
                <w:sz w:val="20"/>
                <w:szCs w:val="20"/>
              </w:rPr>
            </w:pPr>
          </w:p>
          <w:p w14:paraId="001E55AC" w14:textId="77777777" w:rsidR="00521183" w:rsidRPr="00521183" w:rsidRDefault="00521183" w:rsidP="00521183">
            <w:pPr>
              <w:snapToGrid w:val="0"/>
              <w:jc w:val="both"/>
              <w:rPr>
                <w:sz w:val="20"/>
                <w:szCs w:val="20"/>
                <w:lang w:val="en-US" w:eastAsia="ko-KR"/>
              </w:rPr>
            </w:pPr>
            <w:r w:rsidRPr="00521183">
              <w:rPr>
                <w:b/>
                <w:bCs/>
                <w:sz w:val="20"/>
                <w:szCs w:val="20"/>
                <w:highlight w:val="green"/>
              </w:rPr>
              <w:t>Agreement</w:t>
            </w:r>
          </w:p>
          <w:p w14:paraId="26C95677" w14:textId="77777777" w:rsidR="00521183" w:rsidRPr="00521183" w:rsidRDefault="00521183" w:rsidP="00521183">
            <w:pPr>
              <w:snapToGrid w:val="0"/>
              <w:jc w:val="both"/>
              <w:rPr>
                <w:sz w:val="20"/>
                <w:szCs w:val="20"/>
              </w:rPr>
            </w:pPr>
            <w:r w:rsidRPr="00521183">
              <w:rPr>
                <w:sz w:val="20"/>
                <w:szCs w:val="20"/>
              </w:rPr>
              <w:t>On Rel-17 unified TCI framework, support common TCI state ID update and activation to provide common QCL information and/or common UL TX spatial filter(s) across a set of configured CCs:</w:t>
            </w:r>
          </w:p>
          <w:p w14:paraId="1506E8CE"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The above applies to intra-band CA</w:t>
            </w:r>
          </w:p>
          <w:p w14:paraId="451DD2F8"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 xml:space="preserve">The above applies to joint DL/UL and separate DL/UL beam indications </w:t>
            </w:r>
          </w:p>
          <w:p w14:paraId="24334D69"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Just as Rel.16, the RS in the TCI state that provides QCL-TypeA [or QCL-TypeB] shall be in the same CC as the target channel or RS</w:t>
            </w:r>
          </w:p>
          <w:p w14:paraId="5F2D7C66"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6F0A4B4A"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 xml:space="preserve">FFS: The above also applies to inter-band CA </w:t>
            </w:r>
          </w:p>
          <w:p w14:paraId="78F747D8"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t xml:space="preserve">FFS: TCI state pool for CA </w:t>
            </w:r>
          </w:p>
          <w:p w14:paraId="418C3450" w14:textId="77777777" w:rsidR="00521183" w:rsidRPr="00521183" w:rsidRDefault="00521183" w:rsidP="00521183">
            <w:pPr>
              <w:pStyle w:val="ListParagraph"/>
              <w:numPr>
                <w:ilvl w:val="1"/>
                <w:numId w:val="42"/>
              </w:numPr>
              <w:snapToGrid w:val="0"/>
              <w:ind w:leftChars="0"/>
              <w:contextualSpacing/>
              <w:jc w:val="both"/>
              <w:rPr>
                <w:rFonts w:ascii="Times New Roman" w:hAnsi="Times New Roman"/>
                <w:szCs w:val="20"/>
              </w:rPr>
            </w:pPr>
            <w:r w:rsidRPr="00521183">
              <w:rPr>
                <w:rFonts w:ascii="Times New Roman" w:hAnsi="Times New Roman"/>
                <w:szCs w:val="20"/>
                <w:lang w:eastAsia="zh-CN"/>
              </w:rPr>
              <w:t xml:space="preserve">Opt-1: sharing a single RRC TCI state pool for the set of configured CCs, e.g., cell-group TCI state pool, or reuse TCI state pool for PDSCH in a reference cell; </w:t>
            </w:r>
            <w:r w:rsidRPr="00521183">
              <w:rPr>
                <w:rFonts w:ascii="Times New Roman" w:hAnsi="Times New Roman"/>
                <w:szCs w:val="20"/>
                <w:shd w:val="clear" w:color="auto" w:fill="FFFFFF"/>
              </w:rPr>
              <w:t>A CC ID for QCL-Type A RS is absent in a TCI state, and the CC ID for QCL-Type A RS is determined according to a target CC of the TCI state.</w:t>
            </w:r>
          </w:p>
          <w:p w14:paraId="3ABFAADE" w14:textId="77777777" w:rsidR="00521183" w:rsidRPr="00521183" w:rsidRDefault="00521183" w:rsidP="00521183">
            <w:pPr>
              <w:pStyle w:val="ListParagraph"/>
              <w:numPr>
                <w:ilvl w:val="2"/>
                <w:numId w:val="42"/>
              </w:numPr>
              <w:snapToGrid w:val="0"/>
              <w:ind w:leftChars="0"/>
              <w:contextualSpacing/>
              <w:jc w:val="both"/>
              <w:rPr>
                <w:rFonts w:ascii="Times New Roman" w:hAnsi="Times New Roman"/>
                <w:szCs w:val="20"/>
              </w:rPr>
            </w:pPr>
            <w:r w:rsidRPr="00521183">
              <w:rPr>
                <w:rFonts w:ascii="Times New Roman" w:hAnsi="Times New Roman"/>
                <w:szCs w:val="20"/>
              </w:rPr>
              <w:t>FFS: Whether it is possible that a single TCI state in the pool includes all source RSs from different CCs</w:t>
            </w:r>
          </w:p>
          <w:p w14:paraId="660ADD43" w14:textId="77777777" w:rsidR="00521183" w:rsidRPr="00521183" w:rsidRDefault="00521183" w:rsidP="00521183">
            <w:pPr>
              <w:pStyle w:val="ListParagraph"/>
              <w:numPr>
                <w:ilvl w:val="1"/>
                <w:numId w:val="42"/>
              </w:numPr>
              <w:snapToGrid w:val="0"/>
              <w:ind w:leftChars="0"/>
              <w:contextualSpacing/>
              <w:jc w:val="both"/>
              <w:rPr>
                <w:rFonts w:ascii="Times New Roman" w:hAnsi="Times New Roman"/>
                <w:szCs w:val="20"/>
              </w:rPr>
            </w:pPr>
            <w:r w:rsidRPr="00521183">
              <w:rPr>
                <w:rFonts w:ascii="Times New Roman" w:hAnsi="Times New Roman"/>
                <w:szCs w:val="20"/>
                <w:lang w:eastAsia="zh-CN"/>
              </w:rPr>
              <w:t>Opt-2: configuring RRC TCI state pool per individual CC</w:t>
            </w:r>
          </w:p>
          <w:p w14:paraId="49D752A5" w14:textId="77777777" w:rsidR="00521183" w:rsidRPr="00521183" w:rsidRDefault="00521183" w:rsidP="00521183">
            <w:pPr>
              <w:pStyle w:val="ListParagraph"/>
              <w:numPr>
                <w:ilvl w:val="0"/>
                <w:numId w:val="41"/>
              </w:numPr>
              <w:snapToGrid w:val="0"/>
              <w:ind w:leftChars="0"/>
              <w:jc w:val="both"/>
              <w:rPr>
                <w:rFonts w:ascii="Times New Roman" w:hAnsi="Times New Roman"/>
                <w:szCs w:val="20"/>
              </w:rPr>
            </w:pPr>
            <w:r w:rsidRPr="00521183">
              <w:rPr>
                <w:rFonts w:ascii="Times New Roman" w:hAnsi="Times New Roman"/>
                <w:szCs w:val="20"/>
              </w:rPr>
              <w:lastRenderedPageBreak/>
              <w:t>FFS: Whether the Rel-17 common beam update across multiple CCs applies to beam indication for single channel (e.g. PDSCH only, single CORESET), a subset of channels, or all channels</w:t>
            </w:r>
          </w:p>
          <w:p w14:paraId="648A4EB8" w14:textId="77777777" w:rsidR="00521183" w:rsidRPr="00521183" w:rsidRDefault="00521183" w:rsidP="00521183">
            <w:pPr>
              <w:wordWrap w:val="0"/>
              <w:rPr>
                <w:color w:val="1F497D"/>
                <w:sz w:val="20"/>
                <w:szCs w:val="20"/>
              </w:rPr>
            </w:pPr>
          </w:p>
          <w:p w14:paraId="28FACD53" w14:textId="77777777" w:rsidR="00521183" w:rsidRPr="00521183" w:rsidRDefault="00521183" w:rsidP="00521183">
            <w:pPr>
              <w:snapToGrid w:val="0"/>
              <w:jc w:val="both"/>
              <w:rPr>
                <w:sz w:val="20"/>
                <w:szCs w:val="20"/>
                <w:lang w:val="en-US" w:eastAsia="ko-KR"/>
              </w:rPr>
            </w:pPr>
            <w:r w:rsidRPr="00521183">
              <w:rPr>
                <w:b/>
                <w:bCs/>
                <w:sz w:val="20"/>
                <w:szCs w:val="20"/>
                <w:highlight w:val="green"/>
              </w:rPr>
              <w:t>Agreement</w:t>
            </w:r>
          </w:p>
          <w:p w14:paraId="38A3B2E2" w14:textId="77777777" w:rsidR="00521183" w:rsidRPr="00521183" w:rsidRDefault="00521183" w:rsidP="00521183">
            <w:pPr>
              <w:snapToGrid w:val="0"/>
              <w:jc w:val="both"/>
              <w:rPr>
                <w:sz w:val="20"/>
                <w:szCs w:val="20"/>
              </w:rPr>
            </w:pPr>
            <w:r w:rsidRPr="00521183">
              <w:rPr>
                <w:sz w:val="20"/>
                <w:szCs w:val="20"/>
              </w:rPr>
              <w:t>On Rel-17 unified TCI framework:</w:t>
            </w:r>
          </w:p>
          <w:p w14:paraId="7B1257BF" w14:textId="77777777" w:rsidR="00521183" w:rsidRPr="00521183" w:rsidRDefault="00521183" w:rsidP="00521183">
            <w:pPr>
              <w:pStyle w:val="ListParagraph"/>
              <w:numPr>
                <w:ilvl w:val="0"/>
                <w:numId w:val="43"/>
              </w:numPr>
              <w:snapToGrid w:val="0"/>
              <w:ind w:leftChars="0"/>
              <w:contextualSpacing/>
              <w:jc w:val="both"/>
              <w:rPr>
                <w:rFonts w:ascii="Times New Roman" w:hAnsi="Times New Roman"/>
                <w:szCs w:val="20"/>
              </w:rPr>
            </w:pPr>
            <w:r w:rsidRPr="00521183">
              <w:rPr>
                <w:rFonts w:ascii="Times New Roman" w:hAnsi="Times New Roman"/>
                <w:szCs w:val="20"/>
              </w:rPr>
              <w:t>A pool of joint DL/UL TCI state is used for joint DL/UL TCI state update (beam indication).</w:t>
            </w:r>
          </w:p>
          <w:p w14:paraId="09BD3DD1" w14:textId="77777777" w:rsidR="00521183" w:rsidRPr="00521183" w:rsidRDefault="00521183" w:rsidP="00521183">
            <w:pPr>
              <w:pStyle w:val="ListParagraph"/>
              <w:numPr>
                <w:ilvl w:val="0"/>
                <w:numId w:val="43"/>
              </w:numPr>
              <w:snapToGrid w:val="0"/>
              <w:ind w:leftChars="0"/>
              <w:contextualSpacing/>
              <w:jc w:val="both"/>
              <w:rPr>
                <w:rFonts w:ascii="Times New Roman" w:hAnsi="Times New Roman"/>
                <w:szCs w:val="20"/>
              </w:rPr>
            </w:pPr>
            <w:r w:rsidRPr="00521183">
              <w:rPr>
                <w:rFonts w:ascii="Times New Roman" w:hAnsi="Times New Roman"/>
                <w:szCs w:val="20"/>
              </w:rPr>
              <w:t>FFS: The pool for separate DL and UL TCI state update (beam indication)</w:t>
            </w:r>
          </w:p>
          <w:p w14:paraId="3BF91F1E" w14:textId="77777777" w:rsidR="00521183" w:rsidRPr="00521183" w:rsidRDefault="00521183" w:rsidP="00521183">
            <w:pPr>
              <w:pStyle w:val="ListParagraph"/>
              <w:numPr>
                <w:ilvl w:val="0"/>
                <w:numId w:val="43"/>
              </w:numPr>
              <w:snapToGrid w:val="0"/>
              <w:ind w:leftChars="0"/>
              <w:contextualSpacing/>
              <w:jc w:val="both"/>
              <w:rPr>
                <w:rFonts w:ascii="Times New Roman" w:hAnsi="Times New Roman"/>
                <w:szCs w:val="20"/>
              </w:rPr>
            </w:pPr>
            <w:r w:rsidRPr="00521183">
              <w:rPr>
                <w:rFonts w:ascii="Times New Roman" w:hAnsi="Times New Roman"/>
                <w:szCs w:val="20"/>
              </w:rPr>
              <w:t>Note: Here, TCI state pool refers to a pool configured via higher-layer (RRC) signaling</w:t>
            </w:r>
          </w:p>
          <w:p w14:paraId="5F2B9179" w14:textId="77777777" w:rsidR="00521183" w:rsidRPr="00521183" w:rsidRDefault="00521183" w:rsidP="00521183">
            <w:pPr>
              <w:pStyle w:val="ListParagraph"/>
              <w:numPr>
                <w:ilvl w:val="0"/>
                <w:numId w:val="43"/>
              </w:numPr>
              <w:snapToGrid w:val="0"/>
              <w:ind w:leftChars="0"/>
              <w:contextualSpacing/>
              <w:rPr>
                <w:rFonts w:ascii="Times New Roman" w:hAnsi="Times New Roman"/>
                <w:szCs w:val="20"/>
              </w:rPr>
            </w:pPr>
            <w:r w:rsidRPr="00521183">
              <w:rPr>
                <w:rFonts w:ascii="Times New Roman" w:hAnsi="Times New Roman"/>
                <w:szCs w:val="20"/>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38A30283" w14:textId="77777777" w:rsidR="00521183" w:rsidRPr="00521183" w:rsidRDefault="00521183" w:rsidP="00521183">
            <w:pPr>
              <w:wordWrap w:val="0"/>
              <w:rPr>
                <w:color w:val="1F497D"/>
                <w:sz w:val="20"/>
                <w:szCs w:val="20"/>
              </w:rPr>
            </w:pPr>
          </w:p>
          <w:p w14:paraId="60A43D72" w14:textId="77777777" w:rsidR="00521183" w:rsidRPr="00521183" w:rsidRDefault="00521183" w:rsidP="00521183">
            <w:pPr>
              <w:snapToGrid w:val="0"/>
              <w:jc w:val="both"/>
              <w:rPr>
                <w:sz w:val="20"/>
                <w:szCs w:val="20"/>
                <w:highlight w:val="green"/>
              </w:rPr>
            </w:pPr>
            <w:r w:rsidRPr="00521183">
              <w:rPr>
                <w:b/>
                <w:sz w:val="20"/>
                <w:szCs w:val="20"/>
                <w:highlight w:val="green"/>
              </w:rPr>
              <w:t>Agreement</w:t>
            </w:r>
          </w:p>
          <w:p w14:paraId="17D620CC" w14:textId="77777777" w:rsidR="00521183" w:rsidRPr="00521183" w:rsidRDefault="00521183" w:rsidP="00521183">
            <w:pPr>
              <w:snapToGrid w:val="0"/>
              <w:jc w:val="both"/>
              <w:rPr>
                <w:sz w:val="20"/>
                <w:szCs w:val="20"/>
              </w:rPr>
            </w:pPr>
            <w:r w:rsidRPr="00521183">
              <w:rPr>
                <w:sz w:val="20"/>
                <w:szCs w:val="20"/>
              </w:rPr>
              <w:t>In RAN1#104-e, on the Rel-17 L1-based TCI state update (beam indication) for the unified TCI framework, interested companies are to provide the following:</w:t>
            </w:r>
          </w:p>
          <w:p w14:paraId="0CB4F88C" w14:textId="77777777" w:rsidR="00521183" w:rsidRPr="00521183" w:rsidRDefault="00521183" w:rsidP="00521183">
            <w:pPr>
              <w:pStyle w:val="ListParagraph"/>
              <w:numPr>
                <w:ilvl w:val="0"/>
                <w:numId w:val="44"/>
              </w:numPr>
              <w:snapToGrid w:val="0"/>
              <w:ind w:leftChars="0"/>
              <w:contextualSpacing/>
              <w:jc w:val="both"/>
              <w:rPr>
                <w:rFonts w:ascii="Times New Roman" w:hAnsi="Times New Roman"/>
                <w:szCs w:val="20"/>
              </w:rPr>
            </w:pPr>
            <w:r w:rsidRPr="00521183">
              <w:rPr>
                <w:rFonts w:ascii="Times New Roman" w:hAnsi="Times New Roman"/>
                <w:szCs w:val="20"/>
              </w:rPr>
              <w:t xml:space="preserve">How to use DCI formats 1_1 and 1_2 for UL-only (in case of separate DL/UL) TCI state update (beam indication) </w:t>
            </w:r>
          </w:p>
          <w:p w14:paraId="15AFBC73" w14:textId="77777777" w:rsidR="00521183" w:rsidRPr="00521183" w:rsidRDefault="00521183" w:rsidP="00521183">
            <w:pPr>
              <w:pStyle w:val="ListParagraph"/>
              <w:numPr>
                <w:ilvl w:val="1"/>
                <w:numId w:val="44"/>
              </w:numPr>
              <w:snapToGrid w:val="0"/>
              <w:ind w:leftChars="0"/>
              <w:contextualSpacing/>
              <w:jc w:val="both"/>
              <w:rPr>
                <w:rFonts w:ascii="Times New Roman" w:hAnsi="Times New Roman"/>
                <w:szCs w:val="20"/>
              </w:rPr>
            </w:pPr>
            <w:r w:rsidRPr="00521183">
              <w:rPr>
                <w:rFonts w:ascii="Times New Roman" w:hAnsi="Times New Roman"/>
                <w:szCs w:val="20"/>
              </w:rPr>
              <w:t xml:space="preserve">Note: The agreement implies that DCI formats 1_1 and 1_2 can be used for UL-only TCI state update beam indication). </w:t>
            </w:r>
          </w:p>
          <w:p w14:paraId="11DD33FD" w14:textId="77777777" w:rsidR="00521183" w:rsidRPr="00521183" w:rsidRDefault="00521183" w:rsidP="00521183">
            <w:pPr>
              <w:pStyle w:val="ListParagraph"/>
              <w:numPr>
                <w:ilvl w:val="1"/>
                <w:numId w:val="44"/>
              </w:numPr>
              <w:snapToGrid w:val="0"/>
              <w:ind w:leftChars="0"/>
              <w:contextualSpacing/>
              <w:jc w:val="both"/>
              <w:rPr>
                <w:rFonts w:ascii="Times New Roman" w:hAnsi="Times New Roman"/>
                <w:szCs w:val="20"/>
              </w:rPr>
            </w:pPr>
            <w:r w:rsidRPr="00521183">
              <w:rPr>
                <w:rFonts w:ascii="Times New Roman" w:hAnsi="Times New Roman"/>
                <w:szCs w:val="20"/>
                <w:lang w:eastAsia="zh-CN"/>
              </w:rPr>
              <w:t>FFS: Using DCI format 1_1 and 1_2 without DL assignment, and with a new acknowledgment mechanism directly in response to decoding DCI format 1_1 and 1_2, e.g., analogous to SPS PDSCH release</w:t>
            </w:r>
          </w:p>
          <w:p w14:paraId="6E202AD4" w14:textId="77777777" w:rsidR="00521183" w:rsidRPr="00521183" w:rsidRDefault="00521183" w:rsidP="00521183">
            <w:pPr>
              <w:pStyle w:val="ListParagraph"/>
              <w:numPr>
                <w:ilvl w:val="0"/>
                <w:numId w:val="44"/>
              </w:numPr>
              <w:snapToGrid w:val="0"/>
              <w:ind w:leftChars="0"/>
              <w:contextualSpacing/>
              <w:jc w:val="both"/>
              <w:rPr>
                <w:rFonts w:ascii="Times New Roman" w:hAnsi="Times New Roman"/>
                <w:szCs w:val="20"/>
              </w:rPr>
            </w:pPr>
            <w:r w:rsidRPr="00521183">
              <w:rPr>
                <w:rFonts w:ascii="Times New Roman" w:hAnsi="Times New Roman"/>
                <w:szCs w:val="20"/>
              </w:rPr>
              <w:t>Whether/how to support at least one additional DCI format dedicated for UL-only beam indication (in case of separate DL/UL), including:</w:t>
            </w:r>
          </w:p>
          <w:p w14:paraId="6317F083" w14:textId="77777777" w:rsidR="00521183" w:rsidRPr="00521183" w:rsidRDefault="00521183" w:rsidP="00521183">
            <w:pPr>
              <w:pStyle w:val="ListParagraph"/>
              <w:numPr>
                <w:ilvl w:val="1"/>
                <w:numId w:val="44"/>
              </w:numPr>
              <w:snapToGrid w:val="0"/>
              <w:ind w:leftChars="0"/>
              <w:contextualSpacing/>
              <w:jc w:val="both"/>
              <w:rPr>
                <w:rFonts w:ascii="Times New Roman" w:hAnsi="Times New Roman"/>
                <w:szCs w:val="20"/>
              </w:rPr>
            </w:pPr>
            <w:r w:rsidRPr="00521183">
              <w:rPr>
                <w:rFonts w:ascii="Times New Roman" w:hAnsi="Times New Roman"/>
                <w:szCs w:val="20"/>
              </w:rPr>
              <w:t>Whether the format can also be used for DL-only beam indication (in case of separate DL/UL) and joint DL/UL beam indication</w:t>
            </w:r>
          </w:p>
          <w:p w14:paraId="2872C834" w14:textId="77777777" w:rsidR="00521183" w:rsidRPr="00521183" w:rsidRDefault="00521183" w:rsidP="00521183">
            <w:pPr>
              <w:pStyle w:val="ListParagraph"/>
              <w:numPr>
                <w:ilvl w:val="1"/>
                <w:numId w:val="44"/>
              </w:numPr>
              <w:snapToGrid w:val="0"/>
              <w:ind w:leftChars="0"/>
              <w:contextualSpacing/>
              <w:jc w:val="both"/>
              <w:rPr>
                <w:rFonts w:ascii="Times New Roman" w:hAnsi="Times New Roman"/>
                <w:szCs w:val="20"/>
              </w:rPr>
            </w:pPr>
            <w:r w:rsidRPr="00521183">
              <w:rPr>
                <w:rFonts w:ascii="Times New Roman" w:hAnsi="Times New Roman"/>
                <w:szCs w:val="20"/>
              </w:rPr>
              <w:t>Whether it is a “brand new” format or based on some extension of the existing DCI formats other than 1_1 and 1_2 (e.g. 1_0, 0_0, 0_1, or 0_2)</w:t>
            </w:r>
          </w:p>
          <w:p w14:paraId="56773AF8" w14:textId="77777777" w:rsidR="00521183" w:rsidRPr="00521183" w:rsidRDefault="00521183" w:rsidP="00521183">
            <w:pPr>
              <w:pStyle w:val="ListParagraph"/>
              <w:numPr>
                <w:ilvl w:val="2"/>
                <w:numId w:val="44"/>
              </w:numPr>
              <w:snapToGrid w:val="0"/>
              <w:ind w:leftChars="0"/>
              <w:contextualSpacing/>
              <w:jc w:val="both"/>
              <w:rPr>
                <w:rFonts w:ascii="Times New Roman" w:hAnsi="Times New Roman"/>
                <w:szCs w:val="20"/>
              </w:rPr>
            </w:pPr>
            <w:r w:rsidRPr="00521183">
              <w:rPr>
                <w:rFonts w:ascii="Times New Roman" w:hAnsi="Times New Roman"/>
                <w:szCs w:val="20"/>
              </w:rPr>
              <w:t>If UL-related DCI is used, whether it is accompanied with UL grant or not</w:t>
            </w:r>
          </w:p>
          <w:p w14:paraId="371E3242" w14:textId="77777777" w:rsidR="00521183" w:rsidRPr="00521183" w:rsidRDefault="00521183" w:rsidP="00521183">
            <w:pPr>
              <w:pStyle w:val="ListParagraph"/>
              <w:numPr>
                <w:ilvl w:val="1"/>
                <w:numId w:val="44"/>
              </w:numPr>
              <w:snapToGrid w:val="0"/>
              <w:ind w:leftChars="0"/>
              <w:contextualSpacing/>
              <w:jc w:val="both"/>
              <w:rPr>
                <w:rFonts w:ascii="Times New Roman" w:hAnsi="Times New Roman"/>
                <w:szCs w:val="20"/>
              </w:rPr>
            </w:pPr>
            <w:r w:rsidRPr="00521183">
              <w:rPr>
                <w:rFonts w:ascii="Times New Roman" w:hAnsi="Times New Roman"/>
                <w:szCs w:val="20"/>
              </w:rPr>
              <w:t>Acknowledgment mechanism</w:t>
            </w:r>
          </w:p>
          <w:p w14:paraId="1C7AD29D" w14:textId="77777777" w:rsidR="00521183" w:rsidRPr="00521183" w:rsidRDefault="00521183" w:rsidP="00521183">
            <w:pPr>
              <w:wordWrap w:val="0"/>
              <w:rPr>
                <w:color w:val="1F497D"/>
                <w:sz w:val="20"/>
                <w:szCs w:val="20"/>
              </w:rPr>
            </w:pPr>
          </w:p>
          <w:p w14:paraId="2EEE9333" w14:textId="77777777" w:rsidR="00521183" w:rsidRPr="00521183" w:rsidRDefault="00521183" w:rsidP="00521183">
            <w:pPr>
              <w:wordWrap w:val="0"/>
              <w:rPr>
                <w:b/>
                <w:bCs/>
                <w:sz w:val="20"/>
                <w:szCs w:val="20"/>
                <w:highlight w:val="green"/>
              </w:rPr>
            </w:pPr>
            <w:r w:rsidRPr="00521183">
              <w:rPr>
                <w:b/>
                <w:bCs/>
                <w:sz w:val="20"/>
                <w:szCs w:val="20"/>
                <w:highlight w:val="green"/>
              </w:rPr>
              <w:t>Agreement</w:t>
            </w:r>
          </w:p>
          <w:p w14:paraId="1191CDEB" w14:textId="77777777" w:rsidR="00521183" w:rsidRPr="00521183" w:rsidRDefault="00521183" w:rsidP="00521183">
            <w:pPr>
              <w:snapToGrid w:val="0"/>
              <w:jc w:val="both"/>
              <w:rPr>
                <w:bCs/>
                <w:sz w:val="20"/>
                <w:szCs w:val="20"/>
              </w:rPr>
            </w:pPr>
            <w:r w:rsidRPr="00521183">
              <w:rPr>
                <w:bCs/>
                <w:sz w:val="20"/>
                <w:szCs w:val="20"/>
              </w:rPr>
              <w:t xml:space="preserve">On Rel.17 DCI-based beam indication: </w:t>
            </w:r>
          </w:p>
          <w:p w14:paraId="2195614D" w14:textId="77777777" w:rsidR="00521183" w:rsidRPr="00521183" w:rsidRDefault="00521183" w:rsidP="00521183">
            <w:pPr>
              <w:numPr>
                <w:ilvl w:val="0"/>
                <w:numId w:val="45"/>
              </w:numPr>
              <w:snapToGrid w:val="0"/>
              <w:jc w:val="both"/>
              <w:rPr>
                <w:sz w:val="20"/>
                <w:szCs w:val="20"/>
              </w:rPr>
            </w:pPr>
            <w:r w:rsidRPr="00521183">
              <w:rPr>
                <w:sz w:val="20"/>
                <w:szCs w:val="20"/>
              </w:rPr>
              <w:t>Regarding application time of the beam indication: if beam indication is received, down-select from the following:</w:t>
            </w:r>
          </w:p>
          <w:p w14:paraId="7AC291E6" w14:textId="77777777" w:rsidR="00521183" w:rsidRPr="00521183" w:rsidRDefault="00521183" w:rsidP="00521183">
            <w:pPr>
              <w:numPr>
                <w:ilvl w:val="1"/>
                <w:numId w:val="45"/>
              </w:numPr>
              <w:snapToGrid w:val="0"/>
              <w:jc w:val="both"/>
              <w:rPr>
                <w:sz w:val="20"/>
                <w:szCs w:val="20"/>
              </w:rPr>
            </w:pPr>
            <w:r w:rsidRPr="00521183">
              <w:rPr>
                <w:sz w:val="20"/>
                <w:szCs w:val="20"/>
              </w:rPr>
              <w:t>Alt1: the first slot that is at least X ms or Y symbols after the DCI with the joint or separate DL/UL beam indication</w:t>
            </w:r>
          </w:p>
          <w:p w14:paraId="156416F9" w14:textId="77777777" w:rsidR="00521183" w:rsidRPr="00521183" w:rsidRDefault="00521183" w:rsidP="00521183">
            <w:pPr>
              <w:numPr>
                <w:ilvl w:val="1"/>
                <w:numId w:val="45"/>
              </w:numPr>
              <w:snapToGrid w:val="0"/>
              <w:jc w:val="both"/>
              <w:rPr>
                <w:sz w:val="20"/>
                <w:szCs w:val="20"/>
              </w:rPr>
            </w:pPr>
            <w:r w:rsidRPr="00521183">
              <w:rPr>
                <w:sz w:val="20"/>
                <w:szCs w:val="20"/>
              </w:rPr>
              <w:t xml:space="preserve">Alt2: the first slot that is at least X ms or Y symbols after the acknowledgment of the joint or separate DL/UL beam indication </w:t>
            </w:r>
          </w:p>
          <w:p w14:paraId="3BD21005" w14:textId="77777777" w:rsidR="00521183" w:rsidRPr="00521183" w:rsidRDefault="00521183" w:rsidP="00521183">
            <w:pPr>
              <w:numPr>
                <w:ilvl w:val="1"/>
                <w:numId w:val="45"/>
              </w:numPr>
              <w:snapToGrid w:val="0"/>
              <w:jc w:val="both"/>
              <w:rPr>
                <w:sz w:val="20"/>
                <w:szCs w:val="20"/>
              </w:rPr>
            </w:pPr>
            <w:r w:rsidRPr="00521183">
              <w:rPr>
                <w:sz w:val="20"/>
                <w:szCs w:val="20"/>
              </w:rPr>
              <w:t>FFS: whether any existing timing defined for DCI based TCI/spatial relation update can be used for X/Y</w:t>
            </w:r>
          </w:p>
          <w:p w14:paraId="04BD6730" w14:textId="77777777" w:rsidR="00521183" w:rsidRPr="00521183" w:rsidRDefault="00521183" w:rsidP="00521183">
            <w:pPr>
              <w:numPr>
                <w:ilvl w:val="0"/>
                <w:numId w:val="45"/>
              </w:numPr>
              <w:snapToGrid w:val="0"/>
              <w:jc w:val="both"/>
              <w:rPr>
                <w:sz w:val="20"/>
                <w:szCs w:val="20"/>
              </w:rPr>
            </w:pPr>
            <w:r w:rsidRPr="00521183">
              <w:rPr>
                <w:bCs/>
                <w:sz w:val="20"/>
                <w:szCs w:val="20"/>
              </w:rPr>
              <w:t xml:space="preserve">FFS: </w:t>
            </w:r>
            <w:r w:rsidRPr="00521183">
              <w:rPr>
                <w:sz w:val="20"/>
                <w:szCs w:val="20"/>
              </w:rPr>
              <w:t>When to apply the minimum indication delay (e.g., when the newly indicated beam is different with the previously indicated beam)</w:t>
            </w:r>
          </w:p>
          <w:p w14:paraId="712C47F8" w14:textId="77777777" w:rsidR="00521183" w:rsidRPr="00521183" w:rsidRDefault="00521183" w:rsidP="00521183">
            <w:pPr>
              <w:wordWrap w:val="0"/>
              <w:rPr>
                <w:color w:val="1F497D"/>
                <w:sz w:val="20"/>
                <w:szCs w:val="20"/>
              </w:rPr>
            </w:pPr>
          </w:p>
          <w:p w14:paraId="22BE65AE" w14:textId="77777777" w:rsidR="00521183" w:rsidRPr="00521183" w:rsidRDefault="00521183" w:rsidP="00521183">
            <w:pPr>
              <w:wordWrap w:val="0"/>
              <w:rPr>
                <w:color w:val="1F497D"/>
                <w:sz w:val="20"/>
                <w:szCs w:val="20"/>
              </w:rPr>
            </w:pPr>
          </w:p>
          <w:p w14:paraId="7D4F85C5" w14:textId="77777777" w:rsidR="00521183" w:rsidRPr="00521183" w:rsidRDefault="00521183" w:rsidP="00521183">
            <w:pPr>
              <w:snapToGrid w:val="0"/>
              <w:jc w:val="both"/>
              <w:rPr>
                <w:b/>
                <w:bCs/>
                <w:sz w:val="20"/>
                <w:szCs w:val="20"/>
                <w:highlight w:val="green"/>
              </w:rPr>
            </w:pPr>
            <w:r w:rsidRPr="00521183">
              <w:rPr>
                <w:b/>
                <w:bCs/>
                <w:sz w:val="20"/>
                <w:szCs w:val="20"/>
                <w:highlight w:val="green"/>
              </w:rPr>
              <w:t>Agreement</w:t>
            </w:r>
          </w:p>
          <w:p w14:paraId="6ECBD44B" w14:textId="77777777" w:rsidR="00521183" w:rsidRPr="00521183" w:rsidRDefault="00521183" w:rsidP="00521183">
            <w:pPr>
              <w:snapToGrid w:val="0"/>
              <w:jc w:val="both"/>
              <w:rPr>
                <w:bCs/>
                <w:sz w:val="20"/>
                <w:szCs w:val="20"/>
              </w:rPr>
            </w:pPr>
            <w:r w:rsidRPr="00521183">
              <w:rPr>
                <w:bCs/>
                <w:sz w:val="20"/>
                <w:szCs w:val="20"/>
              </w:rPr>
              <w:t xml:space="preserve">On Rel.17 DCI-based beam indication, </w:t>
            </w:r>
            <w:r w:rsidRPr="00521183">
              <w:rPr>
                <w:sz w:val="20"/>
                <w:szCs w:val="20"/>
              </w:rPr>
              <w:t>the beam application time is to be down-selected or modified from the following:</w:t>
            </w:r>
          </w:p>
          <w:p w14:paraId="1C9C39A9" w14:textId="77777777" w:rsidR="00521183" w:rsidRPr="00521183" w:rsidRDefault="00521183" w:rsidP="00521183">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Alt1: The beam application time can be configured by the gNB based on UE capability</w:t>
            </w:r>
          </w:p>
          <w:p w14:paraId="305CB7FA" w14:textId="77777777" w:rsidR="00521183" w:rsidRPr="00521183" w:rsidRDefault="00521183" w:rsidP="00521183">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Support a UE capability for the minimum value of beam application time</w:t>
            </w:r>
          </w:p>
          <w:p w14:paraId="700AB268" w14:textId="77777777" w:rsidR="00521183" w:rsidRPr="00521183" w:rsidRDefault="00521183" w:rsidP="00521183">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 xml:space="preserve">FFS: the exact minimum values of beam application time supported by UE </w:t>
            </w:r>
          </w:p>
          <w:p w14:paraId="656B2FA6" w14:textId="77777777" w:rsidR="00521183" w:rsidRPr="00521183" w:rsidRDefault="00521183" w:rsidP="00521183">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FFS: whether existing UE capability can be reused as this UE capability.</w:t>
            </w:r>
          </w:p>
          <w:p w14:paraId="5C0FD47C" w14:textId="77777777" w:rsidR="00521183" w:rsidRPr="00521183" w:rsidRDefault="00521183" w:rsidP="00521183">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FFS: whether different beam application time values are supported for uplink and downlink</w:t>
            </w:r>
          </w:p>
          <w:p w14:paraId="66578970" w14:textId="77777777" w:rsidR="00521183" w:rsidRPr="00521183" w:rsidRDefault="00521183" w:rsidP="00521183">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FFS: whether UE capability needs to be introduced for the maximum value of beam application time</w:t>
            </w:r>
          </w:p>
          <w:p w14:paraId="47407936" w14:textId="77777777" w:rsidR="00521183" w:rsidRPr="00521183" w:rsidRDefault="00521183" w:rsidP="00521183">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Alt2: The beam application time is fixed and defined in specification</w:t>
            </w:r>
          </w:p>
          <w:p w14:paraId="0F76D932" w14:textId="77777777" w:rsidR="00521183" w:rsidRPr="00521183" w:rsidRDefault="00521183" w:rsidP="00521183">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Alt3: The beam application time can be configured by the gNB where the minimum value of beam application time is fixed and defined in specification</w:t>
            </w:r>
          </w:p>
          <w:p w14:paraId="5D771F11" w14:textId="77777777" w:rsidR="00521183" w:rsidRPr="00521183" w:rsidRDefault="00521183" w:rsidP="00521183">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Consider multi-panel UE, layer 1/2 inter-cell cases, carrier aggregation aspects</w:t>
            </w:r>
          </w:p>
          <w:p w14:paraId="3DEFA917" w14:textId="77777777" w:rsidR="00521183" w:rsidRPr="00521183" w:rsidRDefault="00521183" w:rsidP="00521183">
            <w:pPr>
              <w:wordWrap w:val="0"/>
              <w:rPr>
                <w:color w:val="1F497D"/>
                <w:sz w:val="20"/>
                <w:szCs w:val="20"/>
              </w:rPr>
            </w:pPr>
          </w:p>
          <w:p w14:paraId="1BF864E8" w14:textId="77777777" w:rsidR="00C5338B" w:rsidRPr="00521183" w:rsidRDefault="00C5338B" w:rsidP="00C5338B">
            <w:pPr>
              <w:jc w:val="both"/>
              <w:rPr>
                <w:sz w:val="20"/>
                <w:szCs w:val="20"/>
                <w:lang w:val="en-GB"/>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1FD55135"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4E6D4D">
        <w:rPr>
          <w:lang w:val="en-US"/>
        </w:rPr>
        <w:t xml:space="preserve">the 6 issues about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7835CBBA" w:rsidR="004E6D4D" w:rsidRDefault="00562D2B" w:rsidP="00EF3CD4">
      <w:pPr>
        <w:pStyle w:val="0Maintext"/>
        <w:spacing w:after="120" w:afterAutospacing="0" w:line="240" w:lineRule="auto"/>
        <w:ind w:firstLine="0"/>
        <w:rPr>
          <w:lang w:val="en-US" w:eastAsia="zh-CN"/>
        </w:rPr>
      </w:pPr>
      <w:r>
        <w:rPr>
          <w:lang w:val="en-US" w:eastAsia="zh-CN"/>
        </w:rPr>
        <w:t>For unified TCI indication framework, there are the following open issues</w:t>
      </w:r>
      <w:r w:rsidR="00EF3CD4">
        <w:rPr>
          <w:lang w:val="en-US" w:eastAsia="zh-CN"/>
        </w:rPr>
        <w:t>:</w:t>
      </w:r>
    </w:p>
    <w:p w14:paraId="331C5F23" w14:textId="55C8CC94" w:rsidR="00EF3CD4" w:rsidRDefault="00562D2B" w:rsidP="00EF3CD4">
      <w:pPr>
        <w:pStyle w:val="0Maintext"/>
        <w:numPr>
          <w:ilvl w:val="0"/>
          <w:numId w:val="27"/>
        </w:numPr>
        <w:spacing w:after="120" w:afterAutospacing="0" w:line="240" w:lineRule="auto"/>
        <w:rPr>
          <w:lang w:val="en-US"/>
        </w:rPr>
      </w:pPr>
      <w:r>
        <w:rPr>
          <w:lang w:val="en-US"/>
        </w:rPr>
        <w:t>Remaining details for the downlink TCI state: source signal, target signal and QCL types</w:t>
      </w:r>
    </w:p>
    <w:p w14:paraId="3C798E28" w14:textId="276580A3" w:rsidR="00EF3CD4" w:rsidRDefault="00562D2B" w:rsidP="00EF3CD4">
      <w:pPr>
        <w:pStyle w:val="0Maintext"/>
        <w:numPr>
          <w:ilvl w:val="0"/>
          <w:numId w:val="27"/>
        </w:numPr>
        <w:spacing w:after="120" w:afterAutospacing="0" w:line="240" w:lineRule="auto"/>
        <w:rPr>
          <w:lang w:val="en-US"/>
        </w:rPr>
      </w:pPr>
      <w:r>
        <w:rPr>
          <w:lang w:val="en-US"/>
        </w:rPr>
        <w:t>Remaining details for the uplink TCI state: source signal, target signal and power control parameters</w:t>
      </w:r>
    </w:p>
    <w:p w14:paraId="17CFDAF1" w14:textId="1C0F1CA8" w:rsidR="00EF3CD4" w:rsidRDefault="00EF3CD4" w:rsidP="00EF3CD4">
      <w:pPr>
        <w:pStyle w:val="0Maintext"/>
        <w:spacing w:after="120" w:afterAutospacing="0" w:line="240" w:lineRule="auto"/>
        <w:rPr>
          <w:lang w:val="en-US"/>
        </w:rPr>
      </w:pPr>
    </w:p>
    <w:p w14:paraId="0ACB08FD" w14:textId="03016565" w:rsidR="00EF3CD4" w:rsidRDefault="00562D2B" w:rsidP="00EA2090">
      <w:pPr>
        <w:pStyle w:val="Heading2"/>
      </w:pPr>
      <w:r>
        <w:t>Downlink TCI state</w:t>
      </w:r>
    </w:p>
    <w:p w14:paraId="4940E96A" w14:textId="5467A7D7" w:rsidR="00EA2090" w:rsidRDefault="00EA2090" w:rsidP="00EA2090">
      <w:pPr>
        <w:pStyle w:val="0Maintext"/>
        <w:spacing w:after="120" w:afterAutospacing="0" w:line="240" w:lineRule="auto"/>
        <w:ind w:firstLine="0"/>
        <w:rPr>
          <w:lang w:val="en-US" w:eastAsia="zh-CN"/>
        </w:rPr>
      </w:pPr>
      <w:r>
        <w:rPr>
          <w:lang w:val="en-US" w:eastAsia="zh-CN"/>
        </w:rPr>
        <w:t xml:space="preserve">In Rel-15, the </w:t>
      </w:r>
      <w:r w:rsidR="00562D2B">
        <w:rPr>
          <w:lang w:val="en-US" w:eastAsia="zh-CN"/>
        </w:rPr>
        <w:t>QCL rule is defined as shown in Figure 1</w:t>
      </w:r>
      <w:r>
        <w:rPr>
          <w:lang w:val="en-US" w:eastAsia="zh-CN"/>
        </w:rPr>
        <w:t>.</w:t>
      </w:r>
    </w:p>
    <w:p w14:paraId="5A475E59" w14:textId="5BE07E1A" w:rsidR="00EA2090" w:rsidRDefault="00562D2B" w:rsidP="00EA2090">
      <w:pPr>
        <w:pStyle w:val="0Maintext"/>
        <w:spacing w:after="120" w:afterAutospacing="0" w:line="240" w:lineRule="auto"/>
        <w:ind w:firstLine="0"/>
        <w:jc w:val="center"/>
        <w:rPr>
          <w:lang w:val="en-US" w:eastAsia="zh-CN"/>
        </w:rPr>
      </w:pPr>
      <w:r w:rsidRPr="00562D2B">
        <w:rPr>
          <w:noProof/>
          <w:lang w:val="en-US" w:eastAsia="zh-CN"/>
        </w:rPr>
        <w:drawing>
          <wp:inline distT="0" distB="0" distL="0" distR="0" wp14:anchorId="4E5284FC" wp14:editId="593D0B67">
            <wp:extent cx="4794895" cy="400177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29172" cy="4030377"/>
                    </a:xfrm>
                    <a:prstGeom prst="rect">
                      <a:avLst/>
                    </a:prstGeom>
                  </pic:spPr>
                </pic:pic>
              </a:graphicData>
            </a:graphic>
          </wp:inline>
        </w:drawing>
      </w:r>
    </w:p>
    <w:p w14:paraId="7EFB6A2C" w14:textId="131BFB0D"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sidR="00562D2B">
        <w:rPr>
          <w:b/>
          <w:bCs/>
          <w:lang w:val="en-US" w:eastAsia="zh-CN"/>
        </w:rPr>
        <w:t>QCL rule defined in</w:t>
      </w:r>
      <w:r>
        <w:rPr>
          <w:b/>
          <w:bCs/>
          <w:lang w:val="en-US" w:eastAsia="zh-CN"/>
        </w:rPr>
        <w:t xml:space="preserve"> Rel-15</w:t>
      </w:r>
    </w:p>
    <w:p w14:paraId="4A66B9E4" w14:textId="0F4D6A33" w:rsidR="00562D2B" w:rsidRDefault="00562D2B" w:rsidP="00EA2090">
      <w:pPr>
        <w:pStyle w:val="0Maintext"/>
        <w:spacing w:after="120" w:afterAutospacing="0" w:line="240" w:lineRule="auto"/>
        <w:ind w:firstLine="0"/>
        <w:rPr>
          <w:lang w:val="en-US" w:eastAsia="zh-CN"/>
        </w:rPr>
      </w:pPr>
      <w:r>
        <w:rPr>
          <w:lang w:val="en-US" w:eastAsia="zh-CN"/>
        </w:rPr>
        <w:t xml:space="preserve">The unified TCI framework should follow the QCL rule defined in Rel-15 with regard to UE implementation complexity. As it was agreed, the TCI state can be applied for both PDCCH and PDSCH. </w:t>
      </w:r>
      <w:r w:rsidR="00071AFF">
        <w:rPr>
          <w:lang w:val="en-US" w:eastAsia="zh-CN"/>
        </w:rPr>
        <w:t xml:space="preserve">The source reference signal and QCL type indication for PDCCH and PDSCH are the same based on current QCL rule. For periodic CSI-RS, although it is dedicatedly configured, it can be shared by multiple UEs from network perspective. Thus, it is not necessary to change the beam for periodic CSI-RS. For aperiodic CSI-RS, gNB can use DCI to update its beam, which should be fast enough. For semi-persistent CSI-RS, gNB can use MAC CE to update its beam, which is also with a low latency. Thus, it is not necessary to apply the unified TCI state to CSI-RS. </w:t>
      </w:r>
    </w:p>
    <w:p w14:paraId="27EFD31D" w14:textId="57AD1E2C" w:rsidR="00071AFF" w:rsidRDefault="00071AFF" w:rsidP="00EA2090">
      <w:pPr>
        <w:pStyle w:val="0Maintext"/>
        <w:spacing w:after="120" w:afterAutospacing="0" w:line="240" w:lineRule="auto"/>
        <w:ind w:firstLine="0"/>
        <w:rPr>
          <w:lang w:val="en-US" w:eastAsia="zh-CN"/>
        </w:rPr>
      </w:pPr>
      <w:r>
        <w:rPr>
          <w:lang w:val="en-US" w:eastAsia="zh-CN"/>
        </w:rPr>
        <w:t>Another issue is whether to introduce SRS as the source reference signal. With the help of SRS, gNB can perform network beam refinement</w:t>
      </w:r>
      <w:r w:rsidR="004704C9">
        <w:rPr>
          <w:lang w:val="en-US" w:eastAsia="zh-CN"/>
        </w:rPr>
        <w:t xml:space="preserve"> without additional beam report</w:t>
      </w:r>
      <w:r>
        <w:rPr>
          <w:lang w:val="en-US" w:eastAsia="zh-CN"/>
        </w:rPr>
        <w:t xml:space="preserve">, however the coarse direction for the SRS should still be based on a periodic reference signal so that UE can perform </w:t>
      </w:r>
      <w:r w:rsidR="004704C9">
        <w:rPr>
          <w:lang w:val="en-US" w:eastAsia="zh-CN"/>
        </w:rPr>
        <w:t xml:space="preserve">further beam tracking. Thus, to introduce SRS in </w:t>
      </w:r>
      <w:r w:rsidR="004704C9">
        <w:rPr>
          <w:lang w:val="en-US" w:eastAsia="zh-CN"/>
        </w:rPr>
        <w:lastRenderedPageBreak/>
        <w:t>downlink TCI state can help to reduce the beam report overhead. In addition, the SRS should only be used for QCL-TypeD indication. Some other downlink signal for QCL-TypeA indication should still be necessary.</w:t>
      </w:r>
    </w:p>
    <w:p w14:paraId="0A2F58C1" w14:textId="74D5A2A9" w:rsidR="00562D2B" w:rsidRPr="004704C9" w:rsidRDefault="004704C9" w:rsidP="00EA2090">
      <w:pPr>
        <w:pStyle w:val="0Maintext"/>
        <w:spacing w:after="120" w:afterAutospacing="0" w:line="240" w:lineRule="auto"/>
        <w:ind w:firstLine="0"/>
        <w:rPr>
          <w:b/>
          <w:bCs/>
          <w:i/>
          <w:iCs/>
          <w:lang w:val="en-US" w:eastAsia="zh-CN"/>
        </w:rPr>
      </w:pPr>
      <w:r w:rsidRPr="004704C9">
        <w:rPr>
          <w:b/>
          <w:bCs/>
          <w:i/>
          <w:iCs/>
          <w:lang w:val="en-US" w:eastAsia="zh-CN"/>
        </w:rPr>
        <w:t>Proposal 1: For unified TCI framework, the downlink TCI should be applied for PDCCH and PDSCH only, where the legacy QCL rule should be reused</w:t>
      </w:r>
      <w:r w:rsidR="00081B2B">
        <w:rPr>
          <w:b/>
          <w:bCs/>
          <w:i/>
          <w:iCs/>
          <w:lang w:val="en-US" w:eastAsia="zh-CN"/>
        </w:rPr>
        <w:t xml:space="preserve"> when downlink RS is provided as QCL source</w:t>
      </w:r>
      <w:r w:rsidRPr="004704C9">
        <w:rPr>
          <w:b/>
          <w:bCs/>
          <w:i/>
          <w:iCs/>
          <w:lang w:val="en-US" w:eastAsia="zh-CN"/>
        </w:rPr>
        <w:t>.</w:t>
      </w:r>
    </w:p>
    <w:p w14:paraId="46A57FE4" w14:textId="68AB97D4" w:rsidR="004704C9" w:rsidRPr="004704C9" w:rsidRDefault="004704C9" w:rsidP="00EA2090">
      <w:pPr>
        <w:pStyle w:val="0Maintext"/>
        <w:spacing w:after="120" w:afterAutospacing="0" w:line="240" w:lineRule="auto"/>
        <w:ind w:firstLine="0"/>
        <w:rPr>
          <w:b/>
          <w:bCs/>
          <w:i/>
          <w:iCs/>
          <w:lang w:val="en-US" w:eastAsia="zh-CN"/>
        </w:rPr>
      </w:pPr>
      <w:r w:rsidRPr="004704C9">
        <w:rPr>
          <w:b/>
          <w:bCs/>
          <w:i/>
          <w:iCs/>
          <w:lang w:val="en-US" w:eastAsia="zh-CN"/>
        </w:rPr>
        <w:t>Proposal 2: Support to configure SRS for BM as the source reference signal for QCL-TypeD, where a periodic downlink reference signal should be provided as the spatial relation source of the SRS.</w:t>
      </w:r>
    </w:p>
    <w:p w14:paraId="3ED58CD4" w14:textId="7B03BF6F" w:rsidR="00720BE8" w:rsidRDefault="004704C9" w:rsidP="00720BE8">
      <w:pPr>
        <w:pStyle w:val="Heading2"/>
      </w:pPr>
      <w:r>
        <w:t>Uplink TCI state</w:t>
      </w:r>
    </w:p>
    <w:p w14:paraId="37718BF2" w14:textId="61A6607F" w:rsidR="004704C9" w:rsidRDefault="004704C9" w:rsidP="00720BE8">
      <w:pPr>
        <w:pStyle w:val="0Maintext"/>
        <w:spacing w:after="120" w:afterAutospacing="0" w:line="240" w:lineRule="auto"/>
        <w:ind w:firstLine="0"/>
        <w:rPr>
          <w:lang w:val="en-US" w:eastAsia="zh-CN"/>
        </w:rPr>
      </w:pPr>
      <w:r>
        <w:rPr>
          <w:lang w:val="en-US" w:eastAsia="zh-CN"/>
        </w:rPr>
        <w:t xml:space="preserve">It has been agreed that the unified uplink TCI state can be applicable for PUCCH, PUSCH and SRS for CB/NCB/AS. </w:t>
      </w:r>
      <w:r w:rsidR="00753D11">
        <w:rPr>
          <w:lang w:val="en-US" w:eastAsia="zh-CN"/>
        </w:rPr>
        <w:t>The source reference signal could be SSB/CSI-RS/SRS for BM. Then the remaining issue is the power control parameters indication. The power control parameters should include P0, alpha, pathloss reference signal and closed-loop power control (CL-PC) process index. In Rel-15, beam specific power control has been supported. Thus, it is necessary to configure the power control parameters per TCI state. However, it is not necessary to mandate gNB to provide the pathloss reference signal, since if CSI-RS/SSB is provided in the uplink TCI state, this CSI-RS/SSB can be reused for pathloss estimation.</w:t>
      </w:r>
    </w:p>
    <w:p w14:paraId="3B621933" w14:textId="5F43C0FA" w:rsidR="004704C9" w:rsidRPr="00753D11" w:rsidRDefault="00753D11" w:rsidP="00720BE8">
      <w:pPr>
        <w:pStyle w:val="0Maintext"/>
        <w:spacing w:after="120" w:afterAutospacing="0" w:line="240" w:lineRule="auto"/>
        <w:ind w:firstLine="0"/>
        <w:rPr>
          <w:b/>
          <w:bCs/>
          <w:i/>
          <w:iCs/>
          <w:lang w:val="en-US" w:eastAsia="zh-CN"/>
        </w:rPr>
      </w:pPr>
      <w:r w:rsidRPr="00753D11">
        <w:rPr>
          <w:b/>
          <w:bCs/>
          <w:i/>
          <w:iCs/>
          <w:lang w:val="en-US" w:eastAsia="zh-CN"/>
        </w:rPr>
        <w:t>Proposal 3: Support to configure power control parameters, i.e. P0, alpha, closed-loop power control process and pathloss reference signal in the uplink TCI state</w:t>
      </w:r>
    </w:p>
    <w:p w14:paraId="127312A2" w14:textId="06A0E309" w:rsidR="00753D11" w:rsidRPr="00990D66" w:rsidRDefault="00753D11" w:rsidP="00990D66">
      <w:pPr>
        <w:pStyle w:val="0Maintext"/>
        <w:numPr>
          <w:ilvl w:val="0"/>
          <w:numId w:val="46"/>
        </w:numPr>
        <w:spacing w:after="120" w:afterAutospacing="0" w:line="240" w:lineRule="auto"/>
        <w:rPr>
          <w:b/>
          <w:bCs/>
          <w:i/>
          <w:iCs/>
          <w:lang w:val="en-US" w:eastAsia="zh-CN"/>
        </w:rPr>
      </w:pPr>
      <w:r w:rsidRPr="00753D11">
        <w:rPr>
          <w:b/>
          <w:bCs/>
          <w:i/>
          <w:iCs/>
          <w:lang w:val="en-US" w:eastAsia="zh-CN"/>
        </w:rPr>
        <w:t>If CSI-RS/SSB is provided in the uplink TCI state, pathloss reference signal should not be configured and the CSI-RS/SSB can be reused for pathloss estimation</w:t>
      </w:r>
    </w:p>
    <w:p w14:paraId="51365570" w14:textId="29CB47D4" w:rsidR="0094298C" w:rsidRDefault="0094298C" w:rsidP="0094298C">
      <w:pPr>
        <w:pStyle w:val="Heading1"/>
      </w:pPr>
      <w:r>
        <w:t>Issue 2: L1/L2 Centric Inter-Cell Mobility</w:t>
      </w:r>
    </w:p>
    <w:p w14:paraId="3E79CF63" w14:textId="2886C415" w:rsidR="00BC522F" w:rsidRPr="00BC522F" w:rsidRDefault="00BC522F" w:rsidP="00BC522F">
      <w:pPr>
        <w:pStyle w:val="Heading2"/>
      </w:pPr>
      <w:r>
        <w:t>General assumption</w:t>
      </w:r>
    </w:p>
    <w:p w14:paraId="0136AE59" w14:textId="26F302A5" w:rsidR="0094298C" w:rsidRDefault="0094298C" w:rsidP="0094298C">
      <w:pPr>
        <w:pStyle w:val="0Maintext"/>
        <w:spacing w:after="120" w:afterAutospacing="0" w:line="240" w:lineRule="auto"/>
        <w:ind w:firstLine="0"/>
        <w:rPr>
          <w:lang w:val="en-US" w:eastAsia="zh-CN"/>
        </w:rPr>
      </w:pPr>
      <w:r>
        <w:rPr>
          <w:lang w:val="en-US" w:eastAsia="zh-CN"/>
        </w:rPr>
        <w:t xml:space="preserve">For L1/L2 centric inter-cell mobility, </w:t>
      </w:r>
      <w:r w:rsidR="00834862">
        <w:rPr>
          <w:lang w:val="en-US" w:eastAsia="zh-CN"/>
        </w:rPr>
        <w:t>the first problem</w:t>
      </w:r>
      <w:r>
        <w:rPr>
          <w:lang w:val="en-US" w:eastAsia="zh-CN"/>
        </w:rPr>
        <w:t xml:space="preserve"> is whether the latency reduction should help to improve system performance. </w:t>
      </w:r>
      <w:r w:rsidR="00834862">
        <w:rPr>
          <w:lang w:val="en-US" w:eastAsia="zh-CN"/>
        </w:rPr>
        <w:t xml:space="preserve">Figure </w:t>
      </w:r>
      <w:r w:rsidR="00A11012">
        <w:rPr>
          <w:lang w:val="en-US" w:eastAsia="zh-CN"/>
        </w:rPr>
        <w:t>2</w:t>
      </w:r>
      <w:r w:rsidR="00834862">
        <w:rPr>
          <w:lang w:val="en-US" w:eastAsia="zh-CN"/>
        </w:rPr>
        <w:t xml:space="preserve"> and Figure </w:t>
      </w:r>
      <w:r w:rsidR="00A11012">
        <w:rPr>
          <w:lang w:val="en-US" w:eastAsia="zh-CN"/>
        </w:rPr>
        <w:t>3</w:t>
      </w:r>
      <w:r w:rsidR="00834862">
        <w:rPr>
          <w:lang w:val="en-US" w:eastAsia="zh-CN"/>
        </w:rPr>
        <w:t xml:space="preserve"> illustrates the system level evaluation results for UE without rotation and with rotation with different handover (HO) delay. It can be observed that for most of time, smaller HO delay could bring in better RSRP. However, it can also be observed that </w:t>
      </w:r>
      <w:r w:rsidR="00576934">
        <w:rPr>
          <w:lang w:val="en-US" w:eastAsia="zh-CN"/>
        </w:rPr>
        <w:t xml:space="preserve">1s HO delay may have some performance degradation at a certain time compared to 2s HO delay. This is because of some </w:t>
      </w:r>
      <w:r w:rsidR="005E25D9">
        <w:rPr>
          <w:lang w:val="en-US" w:eastAsia="zh-CN"/>
        </w:rPr>
        <w:t>Ping-Pong</w:t>
      </w:r>
      <w:r w:rsidR="00576934">
        <w:rPr>
          <w:lang w:val="en-US" w:eastAsia="zh-CN"/>
        </w:rPr>
        <w:t xml:space="preserve"> effect for cell selection. Thus, one measurement result should not be a metric for cell selection, and some filter should still be applied for cell selection. </w:t>
      </w:r>
      <w:r w:rsidR="00834862">
        <w:rPr>
          <w:lang w:val="en-US" w:eastAsia="zh-CN"/>
        </w:rPr>
        <w:t xml:space="preserve">The simulation assumption is illustrated in Table A-1 in appendix. </w:t>
      </w:r>
    </w:p>
    <w:p w14:paraId="5FA12C5D" w14:textId="77777777" w:rsidR="004312F7" w:rsidRDefault="004312F7" w:rsidP="00834862">
      <w:pPr>
        <w:pStyle w:val="0Maintext"/>
        <w:spacing w:after="120" w:afterAutospacing="0" w:line="240" w:lineRule="auto"/>
        <w:ind w:firstLine="0"/>
        <w:jc w:val="center"/>
        <w:rPr>
          <w:lang w:val="en-US" w:eastAsia="zh-CN"/>
        </w:rPr>
        <w:sectPr w:rsidR="004312F7" w:rsidSect="00194BBD">
          <w:pgSz w:w="11900" w:h="16840"/>
          <w:pgMar w:top="1440" w:right="1440" w:bottom="1440" w:left="1440" w:header="708" w:footer="708" w:gutter="0"/>
          <w:cols w:space="708"/>
          <w:docGrid w:linePitch="360"/>
        </w:sectPr>
      </w:pPr>
    </w:p>
    <w:p w14:paraId="381F3727" w14:textId="250F8655" w:rsidR="00834862" w:rsidRDefault="00834862" w:rsidP="00834862">
      <w:pPr>
        <w:pStyle w:val="0Maintext"/>
        <w:spacing w:after="120" w:afterAutospacing="0" w:line="240" w:lineRule="auto"/>
        <w:ind w:firstLine="0"/>
        <w:jc w:val="center"/>
        <w:rPr>
          <w:lang w:val="en-US" w:eastAsia="zh-CN"/>
        </w:rPr>
      </w:pPr>
      <w:r w:rsidRPr="00834862">
        <w:rPr>
          <w:noProof/>
          <w:lang w:val="en-US" w:eastAsia="zh-CN"/>
        </w:rPr>
        <w:drawing>
          <wp:inline distT="0" distB="0" distL="0" distR="0" wp14:anchorId="19352B08" wp14:editId="1CA84C05">
            <wp:extent cx="2880000" cy="18199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0000" cy="1819956"/>
                    </a:xfrm>
                    <a:prstGeom prst="rect">
                      <a:avLst/>
                    </a:prstGeom>
                  </pic:spPr>
                </pic:pic>
              </a:graphicData>
            </a:graphic>
          </wp:inline>
        </w:drawing>
      </w:r>
    </w:p>
    <w:p w14:paraId="5AF6C7B1" w14:textId="52CBFFB6" w:rsidR="00834862" w:rsidRPr="00834862" w:rsidRDefault="00834862" w:rsidP="00834862">
      <w:pPr>
        <w:pStyle w:val="0Maintext"/>
        <w:spacing w:after="120" w:afterAutospacing="0" w:line="240" w:lineRule="auto"/>
        <w:ind w:firstLine="0"/>
        <w:jc w:val="center"/>
        <w:rPr>
          <w:b/>
          <w:bCs/>
          <w:lang w:val="en-US" w:eastAsia="zh-CN"/>
        </w:rPr>
      </w:pPr>
      <w:r w:rsidRPr="00834862">
        <w:rPr>
          <w:b/>
          <w:bCs/>
          <w:lang w:val="en-US" w:eastAsia="zh-CN"/>
        </w:rPr>
        <w:t xml:space="preserve">Figure </w:t>
      </w:r>
      <w:r w:rsidR="00A11012">
        <w:rPr>
          <w:b/>
          <w:bCs/>
          <w:lang w:val="en-US" w:eastAsia="zh-CN"/>
        </w:rPr>
        <w:t>2</w:t>
      </w:r>
      <w:r w:rsidRPr="00834862">
        <w:rPr>
          <w:b/>
          <w:bCs/>
          <w:lang w:val="en-US" w:eastAsia="zh-CN"/>
        </w:rPr>
        <w:t>: UE RSRP distribution without rotation</w:t>
      </w:r>
    </w:p>
    <w:p w14:paraId="1B7353DE" w14:textId="172836E9" w:rsidR="00834862" w:rsidRDefault="00834862" w:rsidP="00834862">
      <w:pPr>
        <w:pStyle w:val="0Maintext"/>
        <w:spacing w:after="120" w:afterAutospacing="0" w:line="240" w:lineRule="auto"/>
        <w:ind w:firstLine="0"/>
        <w:jc w:val="center"/>
        <w:rPr>
          <w:lang w:val="en-US" w:eastAsia="zh-CN"/>
        </w:rPr>
      </w:pPr>
      <w:r w:rsidRPr="00834862">
        <w:rPr>
          <w:noProof/>
          <w:lang w:val="en-US" w:eastAsia="zh-CN"/>
        </w:rPr>
        <w:drawing>
          <wp:inline distT="0" distB="0" distL="0" distR="0" wp14:anchorId="7CCF3E24" wp14:editId="3B18E30D">
            <wp:extent cx="2880000" cy="18304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80000" cy="1830492"/>
                    </a:xfrm>
                    <a:prstGeom prst="rect">
                      <a:avLst/>
                    </a:prstGeom>
                  </pic:spPr>
                </pic:pic>
              </a:graphicData>
            </a:graphic>
          </wp:inline>
        </w:drawing>
      </w:r>
    </w:p>
    <w:p w14:paraId="47247EE0" w14:textId="2362B9A9" w:rsidR="00834862" w:rsidRPr="00834862" w:rsidRDefault="00834862" w:rsidP="00834862">
      <w:pPr>
        <w:pStyle w:val="0Maintext"/>
        <w:spacing w:after="120" w:afterAutospacing="0" w:line="240" w:lineRule="auto"/>
        <w:ind w:firstLine="0"/>
        <w:jc w:val="center"/>
        <w:rPr>
          <w:b/>
          <w:bCs/>
          <w:lang w:val="en-US" w:eastAsia="zh-CN"/>
        </w:rPr>
      </w:pPr>
      <w:r w:rsidRPr="00834862">
        <w:rPr>
          <w:b/>
          <w:bCs/>
          <w:lang w:val="en-US" w:eastAsia="zh-CN"/>
        </w:rPr>
        <w:t xml:space="preserve">Figure </w:t>
      </w:r>
      <w:r w:rsidR="00A11012">
        <w:rPr>
          <w:b/>
          <w:bCs/>
          <w:lang w:val="en-US" w:eastAsia="zh-CN"/>
        </w:rPr>
        <w:t>3</w:t>
      </w:r>
      <w:r w:rsidRPr="00834862">
        <w:rPr>
          <w:b/>
          <w:bCs/>
          <w:lang w:val="en-US" w:eastAsia="zh-CN"/>
        </w:rPr>
        <w:t>: UE RSRP distribution without rotation</w:t>
      </w:r>
    </w:p>
    <w:p w14:paraId="5912EAE0" w14:textId="77777777" w:rsidR="004312F7" w:rsidRDefault="004312F7" w:rsidP="0094298C">
      <w:pPr>
        <w:pStyle w:val="0Maintext"/>
        <w:spacing w:after="120" w:afterAutospacing="0" w:line="240" w:lineRule="auto"/>
        <w:ind w:firstLine="0"/>
        <w:rPr>
          <w:lang w:val="en-US" w:eastAsia="zh-CN"/>
        </w:rPr>
        <w:sectPr w:rsidR="004312F7" w:rsidSect="004312F7">
          <w:type w:val="continuous"/>
          <w:pgSz w:w="11900" w:h="16840"/>
          <w:pgMar w:top="1440" w:right="1440" w:bottom="1440" w:left="1440" w:header="708" w:footer="708" w:gutter="0"/>
          <w:cols w:num="2" w:space="708"/>
          <w:docGrid w:linePitch="360"/>
        </w:sectPr>
      </w:pPr>
    </w:p>
    <w:p w14:paraId="6E63D50F" w14:textId="452FE28C" w:rsidR="00834862" w:rsidRDefault="00576934" w:rsidP="0094298C">
      <w:pPr>
        <w:pStyle w:val="0Maintext"/>
        <w:spacing w:after="120" w:afterAutospacing="0" w:line="240" w:lineRule="auto"/>
        <w:ind w:firstLine="0"/>
        <w:rPr>
          <w:lang w:val="en-US" w:eastAsia="zh-CN"/>
        </w:rPr>
      </w:pPr>
      <w:r>
        <w:rPr>
          <w:lang w:val="en-US" w:eastAsia="zh-CN"/>
        </w:rPr>
        <w:t>Based on the discussion and the results, the following for inter-cell mobility can be observed:</w:t>
      </w:r>
    </w:p>
    <w:p w14:paraId="241D9522" w14:textId="0FA4B91B" w:rsidR="00576934" w:rsidRDefault="00576934" w:rsidP="00576934">
      <w:pPr>
        <w:pStyle w:val="0Maintext"/>
        <w:numPr>
          <w:ilvl w:val="0"/>
          <w:numId w:val="30"/>
        </w:numPr>
        <w:spacing w:after="120" w:afterAutospacing="0" w:line="240" w:lineRule="auto"/>
        <w:rPr>
          <w:lang w:val="en-US" w:eastAsia="zh-CN"/>
        </w:rPr>
      </w:pPr>
      <w:r>
        <w:rPr>
          <w:lang w:val="en-US" w:eastAsia="zh-CN"/>
        </w:rPr>
        <w:t>Lower HO delay could bring in some performance gain</w:t>
      </w:r>
    </w:p>
    <w:p w14:paraId="5B32A0F0" w14:textId="0B3F5B1F" w:rsidR="00BC522F" w:rsidRPr="00BC522F" w:rsidRDefault="00576934" w:rsidP="00BC522F">
      <w:pPr>
        <w:pStyle w:val="0Maintext"/>
        <w:numPr>
          <w:ilvl w:val="0"/>
          <w:numId w:val="30"/>
        </w:numPr>
        <w:spacing w:after="120" w:afterAutospacing="0" w:line="240" w:lineRule="auto"/>
        <w:rPr>
          <w:lang w:val="en-US" w:eastAsia="zh-CN"/>
        </w:rPr>
      </w:pPr>
      <w:r>
        <w:rPr>
          <w:lang w:val="en-US" w:eastAsia="zh-CN"/>
        </w:rPr>
        <w:t>1-shot measurement may lead to incorrect cell selection</w:t>
      </w:r>
    </w:p>
    <w:p w14:paraId="7E2E7E1A" w14:textId="551D2C20" w:rsidR="00834862" w:rsidRDefault="00576934" w:rsidP="0094298C">
      <w:pPr>
        <w:pStyle w:val="0Maintext"/>
        <w:spacing w:after="120" w:afterAutospacing="0" w:line="240" w:lineRule="auto"/>
        <w:ind w:firstLine="0"/>
        <w:rPr>
          <w:lang w:val="en-US" w:eastAsia="zh-CN"/>
        </w:rPr>
      </w:pPr>
      <w:r>
        <w:rPr>
          <w:lang w:val="en-US" w:eastAsia="zh-CN"/>
        </w:rPr>
        <w:t xml:space="preserve">To reduce the HO latency, one problem should be clarified that whether RRC reconfiguration is needed for L1/L2 inter-cell mobility. If the RRC reconfiguration is still needed, the benefit for L1/L2 centric inter-cell mobility would be unclear. </w:t>
      </w:r>
      <w:r w:rsidR="002C796C">
        <w:rPr>
          <w:lang w:val="en-US" w:eastAsia="zh-CN"/>
        </w:rPr>
        <w:t xml:space="preserve">Thus, for inter-cell mobility, it should be assumed that no RRC reconfiguration is needed if a TCI with neighbor cell RS is indicated. Then there could be two possible implementations: one is to continue to </w:t>
      </w:r>
      <w:r w:rsidR="002C796C">
        <w:rPr>
          <w:lang w:val="en-US" w:eastAsia="zh-CN"/>
        </w:rPr>
        <w:lastRenderedPageBreak/>
        <w:t>use the old RRC parameters to communicate with the target cell; the other is that gNB can preconfigure the RRC parameters for the target cell and the RRC parameters should be used when the TCI with target cell RS is indicated.</w:t>
      </w:r>
    </w:p>
    <w:p w14:paraId="6F8D2441" w14:textId="52C32223" w:rsidR="002C796C" w:rsidRPr="002C796C" w:rsidRDefault="002C796C" w:rsidP="0094298C">
      <w:pPr>
        <w:pStyle w:val="0Maintext"/>
        <w:spacing w:after="120" w:afterAutospacing="0" w:line="240" w:lineRule="auto"/>
        <w:ind w:firstLine="0"/>
        <w:rPr>
          <w:b/>
          <w:bCs/>
          <w:i/>
          <w:iCs/>
          <w:lang w:val="en-US" w:eastAsia="zh-CN"/>
        </w:rPr>
      </w:pPr>
      <w:r w:rsidRPr="002C796C">
        <w:rPr>
          <w:b/>
          <w:bCs/>
          <w:i/>
          <w:iCs/>
          <w:lang w:val="en-US" w:eastAsia="zh-CN"/>
        </w:rPr>
        <w:t xml:space="preserve">Proposal </w:t>
      </w:r>
      <w:r w:rsidR="00753D11">
        <w:rPr>
          <w:b/>
          <w:bCs/>
          <w:i/>
          <w:iCs/>
          <w:lang w:val="en-US" w:eastAsia="zh-CN"/>
        </w:rPr>
        <w:t>4</w:t>
      </w:r>
      <w:r w:rsidRPr="002C796C">
        <w:rPr>
          <w:b/>
          <w:bCs/>
          <w:i/>
          <w:iCs/>
          <w:lang w:val="en-US" w:eastAsia="zh-CN"/>
        </w:rPr>
        <w:t>: RAN1 should assume no additional RRC reconfiguration signaling is needed for L1/L2 centric inter-cell mobility, and RAN1 should clarify the corresponding UE behavior when a TCI with neighbor cell RS is indicated based on the following options</w:t>
      </w:r>
    </w:p>
    <w:p w14:paraId="4CAFDCDD" w14:textId="77777777" w:rsidR="002C796C" w:rsidRPr="002C796C" w:rsidRDefault="002C796C" w:rsidP="002C796C">
      <w:pPr>
        <w:pStyle w:val="0Maintext"/>
        <w:numPr>
          <w:ilvl w:val="0"/>
          <w:numId w:val="31"/>
        </w:numPr>
        <w:spacing w:after="120" w:afterAutospacing="0" w:line="240" w:lineRule="auto"/>
        <w:rPr>
          <w:b/>
          <w:bCs/>
          <w:i/>
          <w:iCs/>
          <w:lang w:val="en-US" w:eastAsia="zh-CN"/>
        </w:rPr>
      </w:pPr>
      <w:r w:rsidRPr="002C796C">
        <w:rPr>
          <w:b/>
          <w:bCs/>
          <w:i/>
          <w:iCs/>
          <w:lang w:val="en-US" w:eastAsia="zh-CN"/>
        </w:rPr>
        <w:t xml:space="preserve">Option 1: UE continues to use the old RRC parameters to communicate with the target cell; </w:t>
      </w:r>
    </w:p>
    <w:p w14:paraId="685D84A6" w14:textId="55DF7A20" w:rsidR="002C796C" w:rsidRPr="002C796C" w:rsidRDefault="002C796C" w:rsidP="002C796C">
      <w:pPr>
        <w:pStyle w:val="0Maintext"/>
        <w:numPr>
          <w:ilvl w:val="0"/>
          <w:numId w:val="31"/>
        </w:numPr>
        <w:spacing w:after="120" w:afterAutospacing="0" w:line="240" w:lineRule="auto"/>
        <w:rPr>
          <w:b/>
          <w:bCs/>
          <w:i/>
          <w:iCs/>
          <w:lang w:val="en-US" w:eastAsia="zh-CN"/>
        </w:rPr>
      </w:pPr>
      <w:r w:rsidRPr="002C796C">
        <w:rPr>
          <w:b/>
          <w:bCs/>
          <w:i/>
          <w:iCs/>
          <w:lang w:val="en-US" w:eastAsia="zh-CN"/>
        </w:rPr>
        <w:t>Option 2: gNB can preconfigure the RRC parameters for the target cell and the RRC parameters should be used when the TCI with target cell RS is indicated</w:t>
      </w:r>
      <w:r w:rsidR="00057599">
        <w:rPr>
          <w:b/>
          <w:bCs/>
          <w:i/>
          <w:iCs/>
          <w:lang w:val="en-US" w:eastAsia="zh-CN"/>
        </w:rPr>
        <w:t>, which is similar to BWP switching</w:t>
      </w:r>
    </w:p>
    <w:p w14:paraId="35CBA162" w14:textId="6B6B472C" w:rsidR="00BC522F" w:rsidRPr="00BC522F" w:rsidRDefault="00BC522F" w:rsidP="00BC522F">
      <w:pPr>
        <w:pStyle w:val="Heading2"/>
      </w:pPr>
      <w:r>
        <w:t>Metric</w:t>
      </w:r>
    </w:p>
    <w:p w14:paraId="50E27329" w14:textId="23016FDC" w:rsidR="008D3DD1" w:rsidRDefault="002C796C" w:rsidP="002C796C">
      <w:pPr>
        <w:pStyle w:val="0Maintext"/>
        <w:spacing w:after="120" w:afterAutospacing="0" w:line="240" w:lineRule="auto"/>
        <w:ind w:firstLine="0"/>
        <w:rPr>
          <w:lang w:val="en-US" w:eastAsia="zh-CN"/>
        </w:rPr>
      </w:pPr>
      <w:r>
        <w:rPr>
          <w:lang w:val="en-US" w:eastAsia="zh-CN"/>
        </w:rPr>
        <w:t xml:space="preserve">Another issue is about the metric for cell selection. It is observed that 1-shot measurement may lead to incorrect cell selection. If the HO latency and overhead is quite small, which is similar to a beam selection, such 1-shot measurement can still be used, since gNB can easily switch the cell although an incorrect cell is selected. However, if the HO latency or overhead is large, the cost for cell re-selection would be large, so that such incorrect cell selection is better to be avoided. Then some higher layer filter should be applied </w:t>
      </w:r>
      <w:r w:rsidR="00BC522F">
        <w:rPr>
          <w:lang w:val="en-US" w:eastAsia="zh-CN"/>
        </w:rPr>
        <w:t>for the metric.</w:t>
      </w:r>
    </w:p>
    <w:p w14:paraId="092D07EB" w14:textId="2644CF8E" w:rsidR="00753D11" w:rsidRDefault="00753D11" w:rsidP="002C796C">
      <w:pPr>
        <w:pStyle w:val="0Maintext"/>
        <w:spacing w:after="120" w:afterAutospacing="0" w:line="240" w:lineRule="auto"/>
        <w:ind w:firstLine="0"/>
        <w:rPr>
          <w:lang w:val="en-US" w:eastAsia="zh-CN"/>
        </w:rPr>
      </w:pPr>
      <w:r>
        <w:rPr>
          <w:lang w:val="en-US" w:eastAsia="zh-CN"/>
        </w:rPr>
        <w:t>In addition, since there may be multiple neighbor cells, to measure all the beams from all the neighbor cells would increase the UE power consumption quite a lot. As shown in Figure 4, UE may only need to perform measurement for a subset of neighbor cells. But from RRC configuration perspective, gNB may configure the CSI</w:t>
      </w:r>
      <w:r w:rsidR="00A11012">
        <w:rPr>
          <w:lang w:val="en-US" w:eastAsia="zh-CN"/>
        </w:rPr>
        <w:t>-r</w:t>
      </w:r>
      <w:r>
        <w:rPr>
          <w:lang w:val="en-US" w:eastAsia="zh-CN"/>
        </w:rPr>
        <w:t xml:space="preserve">eportConfig </w:t>
      </w:r>
      <w:r w:rsidR="00A11012">
        <w:rPr>
          <w:lang w:val="en-US" w:eastAsia="zh-CN"/>
        </w:rPr>
        <w:t>for different cells. Thus, CSI-reportConfig corresponding to some cells should be considered as “disabled”, where UE does not need to perform the L1 measurement.</w:t>
      </w:r>
      <w:r>
        <w:rPr>
          <w:lang w:val="en-US" w:eastAsia="zh-CN"/>
        </w:rPr>
        <w:t xml:space="preserve"> </w:t>
      </w:r>
      <w:r w:rsidR="00A11012">
        <w:rPr>
          <w:lang w:val="en-US" w:eastAsia="zh-CN"/>
        </w:rPr>
        <w:t>So, a hybrid L3+L1 measurement can help to reduce UE complexity, where the L3 results can be used for potential candidate cell(s) selection, and L1 result can be used for beam selection.</w:t>
      </w:r>
    </w:p>
    <w:p w14:paraId="05999A29" w14:textId="15649C0E" w:rsidR="00A11012" w:rsidRDefault="00A11012" w:rsidP="00A11012">
      <w:pPr>
        <w:pStyle w:val="0Maintext"/>
        <w:spacing w:after="120" w:afterAutospacing="0" w:line="240" w:lineRule="auto"/>
        <w:ind w:firstLine="0"/>
        <w:jc w:val="center"/>
        <w:rPr>
          <w:lang w:val="en-US" w:eastAsia="zh-CN"/>
        </w:rPr>
      </w:pPr>
      <w:r w:rsidRPr="00A11012">
        <w:rPr>
          <w:noProof/>
          <w:lang w:val="en-US" w:eastAsia="zh-CN"/>
        </w:rPr>
        <w:drawing>
          <wp:inline distT="0" distB="0" distL="0" distR="0" wp14:anchorId="4FC383F3" wp14:editId="69D40ED3">
            <wp:extent cx="3382948" cy="32828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01007" cy="3300335"/>
                    </a:xfrm>
                    <a:prstGeom prst="rect">
                      <a:avLst/>
                    </a:prstGeom>
                  </pic:spPr>
                </pic:pic>
              </a:graphicData>
            </a:graphic>
          </wp:inline>
        </w:drawing>
      </w:r>
    </w:p>
    <w:p w14:paraId="6E949896" w14:textId="1296A17A" w:rsidR="00A11012" w:rsidRPr="00A11012" w:rsidRDefault="00A11012" w:rsidP="00A11012">
      <w:pPr>
        <w:pStyle w:val="0Maintext"/>
        <w:spacing w:after="120" w:afterAutospacing="0" w:line="240" w:lineRule="auto"/>
        <w:ind w:firstLine="0"/>
        <w:jc w:val="center"/>
        <w:rPr>
          <w:b/>
          <w:bCs/>
          <w:lang w:val="en-US" w:eastAsia="zh-CN"/>
        </w:rPr>
      </w:pPr>
      <w:r w:rsidRPr="00A11012">
        <w:rPr>
          <w:b/>
          <w:bCs/>
          <w:lang w:val="en-US" w:eastAsia="zh-CN"/>
        </w:rPr>
        <w:t>Figure 4: Candidate cell selection</w:t>
      </w:r>
    </w:p>
    <w:p w14:paraId="70764BA5" w14:textId="77777777" w:rsidR="00A11012" w:rsidRDefault="00A11012" w:rsidP="002C796C">
      <w:pPr>
        <w:pStyle w:val="0Maintext"/>
        <w:spacing w:after="120" w:afterAutospacing="0" w:line="240" w:lineRule="auto"/>
        <w:ind w:firstLine="0"/>
        <w:rPr>
          <w:lang w:val="en-US" w:eastAsia="zh-CN"/>
        </w:rPr>
      </w:pPr>
    </w:p>
    <w:p w14:paraId="57911547" w14:textId="78D02CDF" w:rsidR="00BC522F" w:rsidRPr="00BC522F" w:rsidRDefault="00BC522F" w:rsidP="002C796C">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A11012">
        <w:rPr>
          <w:b/>
          <w:bCs/>
          <w:i/>
          <w:iCs/>
          <w:lang w:val="en-US" w:eastAsia="zh-CN"/>
        </w:rPr>
        <w:t>5</w:t>
      </w:r>
      <w:r w:rsidRPr="00BC522F">
        <w:rPr>
          <w:b/>
          <w:bCs/>
          <w:i/>
          <w:iCs/>
          <w:lang w:val="en-US" w:eastAsia="zh-CN"/>
        </w:rPr>
        <w:t xml:space="preserve">: </w:t>
      </w:r>
      <w:r w:rsidR="00A11012">
        <w:rPr>
          <w:b/>
          <w:bCs/>
          <w:i/>
          <w:iCs/>
          <w:lang w:val="en-US" w:eastAsia="zh-CN"/>
        </w:rPr>
        <w:t xml:space="preserve">Support </w:t>
      </w:r>
      <w:r w:rsidR="00057599">
        <w:rPr>
          <w:b/>
          <w:bCs/>
          <w:i/>
          <w:iCs/>
          <w:lang w:val="en-US" w:eastAsia="zh-CN"/>
        </w:rPr>
        <w:t>hybrid</w:t>
      </w:r>
      <w:r w:rsidR="00A11012">
        <w:rPr>
          <w:b/>
          <w:bCs/>
          <w:i/>
          <w:iCs/>
          <w:lang w:val="en-US" w:eastAsia="zh-CN"/>
        </w:rPr>
        <w:t xml:space="preserve"> L3+L1 measurement for inter-cell mobility</w:t>
      </w:r>
      <w:r w:rsidRPr="00BC522F">
        <w:rPr>
          <w:b/>
          <w:bCs/>
          <w:i/>
          <w:iCs/>
          <w:lang w:val="en-US" w:eastAsia="zh-CN"/>
        </w:rPr>
        <w:t>.</w:t>
      </w:r>
    </w:p>
    <w:p w14:paraId="0112F1E6" w14:textId="147DC07A" w:rsidR="00A11012" w:rsidRPr="00A11012" w:rsidRDefault="00A11012" w:rsidP="00A11012">
      <w:pPr>
        <w:pStyle w:val="0Maintext"/>
        <w:numPr>
          <w:ilvl w:val="0"/>
          <w:numId w:val="32"/>
        </w:numPr>
        <w:spacing w:after="120" w:afterAutospacing="0" w:line="240" w:lineRule="auto"/>
        <w:rPr>
          <w:b/>
          <w:bCs/>
          <w:i/>
          <w:iCs/>
          <w:lang w:val="en-US" w:eastAsia="zh-CN"/>
        </w:rPr>
      </w:pPr>
      <w:r>
        <w:rPr>
          <w:b/>
          <w:bCs/>
          <w:i/>
          <w:iCs/>
          <w:lang w:val="en-US" w:eastAsia="zh-CN"/>
        </w:rPr>
        <w:t xml:space="preserve">L3 measurement results </w:t>
      </w:r>
      <w:r w:rsidRPr="00A11012">
        <w:rPr>
          <w:b/>
          <w:bCs/>
          <w:i/>
          <w:iCs/>
          <w:lang w:val="en-US" w:eastAsia="zh-CN"/>
        </w:rPr>
        <w:t>can be used for potential candidate cell(s) selection</w:t>
      </w:r>
      <w:r>
        <w:rPr>
          <w:b/>
          <w:bCs/>
          <w:i/>
          <w:iCs/>
          <w:lang w:val="en-US" w:eastAsia="zh-CN"/>
        </w:rPr>
        <w:t>, where the CSI-reportConfig corresponding to the candidate cell(s) can be considered as “enabled”</w:t>
      </w:r>
    </w:p>
    <w:p w14:paraId="0F30BAEE" w14:textId="0035F3A7" w:rsidR="002C796C" w:rsidRPr="00A11012" w:rsidRDefault="00A11012" w:rsidP="00A11012">
      <w:pPr>
        <w:pStyle w:val="0Maintext"/>
        <w:numPr>
          <w:ilvl w:val="0"/>
          <w:numId w:val="32"/>
        </w:numPr>
        <w:spacing w:after="120" w:afterAutospacing="0" w:line="240" w:lineRule="auto"/>
        <w:rPr>
          <w:b/>
          <w:bCs/>
          <w:i/>
          <w:iCs/>
          <w:lang w:val="en-US" w:eastAsia="zh-CN"/>
        </w:rPr>
      </w:pPr>
      <w:r>
        <w:rPr>
          <w:b/>
          <w:bCs/>
          <w:i/>
          <w:iCs/>
          <w:lang w:val="en-US" w:eastAsia="zh-CN"/>
        </w:rPr>
        <w:t>L1 measurement results based on the CSI-reportConfig for corresponding candidate cell can be used for beam selection for the cell</w:t>
      </w:r>
    </w:p>
    <w:p w14:paraId="7020920E" w14:textId="664D3549" w:rsidR="00BC522F" w:rsidRPr="00BC522F" w:rsidRDefault="00BC522F" w:rsidP="00BC522F">
      <w:pPr>
        <w:pStyle w:val="Heading2"/>
      </w:pPr>
      <w:r>
        <w:lastRenderedPageBreak/>
        <w:t xml:space="preserve">Control signaling </w:t>
      </w:r>
    </w:p>
    <w:p w14:paraId="4C8B0A49" w14:textId="14DDE825" w:rsidR="00BC522F" w:rsidRDefault="00BC522F" w:rsidP="00BC522F">
      <w:pPr>
        <w:pStyle w:val="0Maintext"/>
        <w:spacing w:after="120" w:afterAutospacing="0" w:line="240" w:lineRule="auto"/>
        <w:ind w:firstLine="0"/>
        <w:rPr>
          <w:lang w:val="en-US" w:eastAsia="zh-CN"/>
        </w:rPr>
      </w:pPr>
      <w:r>
        <w:rPr>
          <w:lang w:val="en-US" w:eastAsia="zh-CN"/>
        </w:rPr>
        <w:t xml:space="preserve">To support inter-cell operation, another problem is about how to indicate the beam based on neighbor cell RS. To support such functionality, gNB should be able to provide the TCI indication based on SSB from a neighbor cell. Thus, the TCI can be divided into several groups, where each group is associated with a physical cell ID. In addition to the physical cell ID, some other SSB related configuration, e.g. transmission power, periodicity, pattern in burst, offset to point A and so on, should be configured for each TCI state group. As shown in Figure </w:t>
      </w:r>
      <w:r w:rsidR="004312F7">
        <w:rPr>
          <w:lang w:val="en-US" w:eastAsia="zh-CN"/>
        </w:rPr>
        <w:t>5</w:t>
      </w:r>
      <w:r>
        <w:rPr>
          <w:lang w:val="en-US" w:eastAsia="zh-CN"/>
        </w:rPr>
        <w:t>, TCI state x and y should belong to different TCI state groups, and after switching to TCI state y from TCI state x, UE is assumed to connect to the target gNB. Moreover, if target gNB uses different higher layer parameters, such higher layer parameters can be configured per TCI state group, and after TCI switching, gNB does not need to trigger additional RRC reconfiguration procedure, but UE can apply such RRC configurations associated with the new TCI state group automatically.</w:t>
      </w:r>
    </w:p>
    <w:p w14:paraId="0D166AB7" w14:textId="77777777" w:rsidR="00BC522F" w:rsidRDefault="00BC522F" w:rsidP="00BC522F">
      <w:pPr>
        <w:pStyle w:val="0Maintext"/>
        <w:spacing w:after="120" w:afterAutospacing="0" w:line="240" w:lineRule="auto"/>
        <w:ind w:firstLine="0"/>
        <w:jc w:val="center"/>
        <w:rPr>
          <w:lang w:val="en-US" w:eastAsia="zh-CN"/>
        </w:rPr>
      </w:pPr>
      <w:r w:rsidRPr="00EF501D">
        <w:rPr>
          <w:noProof/>
          <w:lang w:val="en-US" w:eastAsia="zh-CN"/>
        </w:rPr>
        <w:drawing>
          <wp:inline distT="0" distB="0" distL="0" distR="0" wp14:anchorId="55067383" wp14:editId="738A54EF">
            <wp:extent cx="5727700" cy="1745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745615"/>
                    </a:xfrm>
                    <a:prstGeom prst="rect">
                      <a:avLst/>
                    </a:prstGeom>
                  </pic:spPr>
                </pic:pic>
              </a:graphicData>
            </a:graphic>
          </wp:inline>
        </w:drawing>
      </w:r>
    </w:p>
    <w:p w14:paraId="300899F1" w14:textId="44A10059" w:rsidR="00BC522F" w:rsidRPr="00EF501D" w:rsidRDefault="00BC522F" w:rsidP="00BC522F">
      <w:pPr>
        <w:pStyle w:val="0Maintext"/>
        <w:spacing w:after="120" w:afterAutospacing="0" w:line="240" w:lineRule="auto"/>
        <w:ind w:firstLine="0"/>
        <w:jc w:val="center"/>
        <w:rPr>
          <w:b/>
          <w:bCs/>
          <w:i/>
          <w:iCs/>
          <w:lang w:val="en-US" w:eastAsia="zh-CN"/>
        </w:rPr>
      </w:pPr>
      <w:r w:rsidRPr="00EF501D">
        <w:rPr>
          <w:b/>
          <w:bCs/>
          <w:lang w:val="en-US" w:eastAsia="zh-CN"/>
        </w:rPr>
        <w:t xml:space="preserve">Figure </w:t>
      </w:r>
      <w:r w:rsidR="004312F7">
        <w:rPr>
          <w:b/>
          <w:bCs/>
          <w:lang w:val="en-US" w:eastAsia="zh-CN"/>
        </w:rPr>
        <w:t>5</w:t>
      </w:r>
      <w:r w:rsidRPr="00EF501D">
        <w:rPr>
          <w:b/>
          <w:bCs/>
          <w:lang w:val="en-US" w:eastAsia="zh-CN"/>
        </w:rPr>
        <w:t>: TCI configuration to support inter-cell mobility</w:t>
      </w:r>
    </w:p>
    <w:p w14:paraId="517D2E83" w14:textId="5F02E4A5" w:rsidR="00BC522F" w:rsidRDefault="00BC522F" w:rsidP="00BC522F">
      <w:pPr>
        <w:pStyle w:val="0Maintext"/>
        <w:spacing w:after="120" w:afterAutospacing="0" w:line="240" w:lineRule="auto"/>
        <w:ind w:firstLine="0"/>
        <w:rPr>
          <w:b/>
          <w:bCs/>
          <w:i/>
          <w:iCs/>
          <w:lang w:val="en-US" w:eastAsia="zh-CN"/>
        </w:rPr>
      </w:pPr>
      <w:r>
        <w:rPr>
          <w:b/>
          <w:bCs/>
          <w:i/>
          <w:iCs/>
          <w:lang w:val="en-US" w:eastAsia="zh-CN"/>
        </w:rPr>
        <w:t xml:space="preserve">Proposal </w:t>
      </w:r>
      <w:r w:rsidR="00A11012">
        <w:rPr>
          <w:b/>
          <w:bCs/>
          <w:i/>
          <w:iCs/>
          <w:lang w:val="en-US" w:eastAsia="zh-CN"/>
        </w:rPr>
        <w:t>6</w:t>
      </w:r>
      <w:r>
        <w:rPr>
          <w:b/>
          <w:bCs/>
          <w:i/>
          <w:iCs/>
          <w:lang w:val="en-US" w:eastAsia="zh-CN"/>
        </w:rPr>
        <w:t>: To facilitate L1/L2 centric inter-cell mobility, the TCI states can be divided into N groups, where each group is associated with one SSB configuration</w:t>
      </w:r>
    </w:p>
    <w:p w14:paraId="4A6E4642" w14:textId="3B02128D" w:rsidR="00BC522F" w:rsidRDefault="00BC522F" w:rsidP="00BC522F">
      <w:pPr>
        <w:pStyle w:val="0Maintext"/>
        <w:numPr>
          <w:ilvl w:val="0"/>
          <w:numId w:val="24"/>
        </w:numPr>
        <w:spacing w:after="120" w:afterAutospacing="0" w:line="240" w:lineRule="auto"/>
        <w:rPr>
          <w:b/>
          <w:bCs/>
          <w:i/>
          <w:iCs/>
          <w:lang w:val="en-US" w:eastAsia="zh-CN"/>
        </w:rPr>
      </w:pPr>
      <w:r>
        <w:rPr>
          <w:b/>
          <w:bCs/>
          <w:i/>
          <w:iCs/>
          <w:lang w:val="en-US" w:eastAsia="zh-CN"/>
        </w:rPr>
        <w:t>The SSB configuration should at least include physical cell ID, SSB transmission power, SSB periodicity and pattern in burst, as well as offset to point A</w:t>
      </w:r>
    </w:p>
    <w:p w14:paraId="4B09A851" w14:textId="6DBAD9FB" w:rsidR="00BC522F" w:rsidRDefault="00BC522F" w:rsidP="00BC522F">
      <w:pPr>
        <w:pStyle w:val="Heading2"/>
      </w:pPr>
      <w:r>
        <w:t>Event based beam report</w:t>
      </w:r>
    </w:p>
    <w:p w14:paraId="7D38239B" w14:textId="3DFAF322"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report some beam information based on MAC CE. For example, when the RSRP from the neighbor cell beam is above the RSRP from current active beam plus an offset, UE can trigger such MAC CE report. Further, UE can also report such MAC CE when some uplink resources for PUSCH are available. Compared to L1 beam report, this can provide good flexibility for UE to report the beam quality.</w:t>
      </w:r>
    </w:p>
    <w:p w14:paraId="5F4E319F" w14:textId="664A1226"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A11012">
        <w:rPr>
          <w:b/>
          <w:bCs/>
          <w:i/>
          <w:iCs/>
          <w:lang w:val="en-US" w:eastAsia="zh-CN"/>
        </w:rPr>
        <w:t>7</w:t>
      </w:r>
      <w:r w:rsidRPr="006F66D2">
        <w:rPr>
          <w:b/>
          <w:bCs/>
          <w:i/>
          <w:iCs/>
          <w:lang w:val="en-US" w:eastAsia="zh-CN"/>
        </w:rPr>
        <w:t>: Support MAC CE based beam reporting</w:t>
      </w:r>
      <w:r>
        <w:rPr>
          <w:b/>
          <w:bCs/>
          <w:i/>
          <w:iCs/>
          <w:lang w:val="en-US" w:eastAsia="zh-CN"/>
        </w:rPr>
        <w:t>, which can be triggered by a particular event</w:t>
      </w:r>
      <w:r w:rsidRPr="006F66D2">
        <w:rPr>
          <w:b/>
          <w:bCs/>
          <w:i/>
          <w:iCs/>
          <w:lang w:val="en-US" w:eastAsia="zh-CN"/>
        </w:rPr>
        <w:t>.</w:t>
      </w:r>
    </w:p>
    <w:p w14:paraId="70664780" w14:textId="4FFC40B5" w:rsidR="006F66D2" w:rsidRPr="006F66D2" w:rsidRDefault="006F66D2" w:rsidP="006F66D2">
      <w:pPr>
        <w:pStyle w:val="0Maintext"/>
        <w:numPr>
          <w:ilvl w:val="0"/>
          <w:numId w:val="24"/>
        </w:numPr>
        <w:spacing w:after="120" w:afterAutospacing="0" w:line="240" w:lineRule="auto"/>
        <w:rPr>
          <w:b/>
          <w:bCs/>
          <w:i/>
          <w:iCs/>
          <w:lang w:val="en-US" w:eastAsia="zh-CN"/>
        </w:rPr>
      </w:pPr>
      <w:r>
        <w:rPr>
          <w:b/>
          <w:bCs/>
          <w:i/>
          <w:iCs/>
          <w:lang w:val="en-US" w:eastAsia="zh-CN"/>
        </w:rPr>
        <w:t>FFS: The event to trigger the MAC CE</w:t>
      </w:r>
      <w:r w:rsidR="001D5F61">
        <w:rPr>
          <w:b/>
          <w:bCs/>
          <w:i/>
          <w:iCs/>
          <w:lang w:val="en-US" w:eastAsia="zh-CN"/>
        </w:rPr>
        <w:t xml:space="preserve"> for beam reporting</w:t>
      </w:r>
    </w:p>
    <w:p w14:paraId="4CDE199D" w14:textId="2A60B668" w:rsidR="00BC522F" w:rsidRDefault="00215CAC" w:rsidP="00215CAC">
      <w:pPr>
        <w:pStyle w:val="Heading1"/>
      </w:pPr>
      <w:r>
        <w:t>Issue 3: TCI update signaling</w:t>
      </w:r>
    </w:p>
    <w:p w14:paraId="4A5639FB" w14:textId="7CD55F4A" w:rsidR="00215CAC" w:rsidRDefault="00215CAC" w:rsidP="00A11012">
      <w:pPr>
        <w:pStyle w:val="0Maintext"/>
        <w:spacing w:after="120" w:afterAutospacing="0" w:line="240" w:lineRule="auto"/>
        <w:ind w:firstLine="0"/>
        <w:rPr>
          <w:lang w:val="en-US" w:eastAsia="zh-CN"/>
        </w:rPr>
      </w:pPr>
      <w:r>
        <w:rPr>
          <w:lang w:val="en-US" w:eastAsia="zh-CN"/>
        </w:rPr>
        <w:t>In RAN1 #10</w:t>
      </w:r>
      <w:r w:rsidR="00A11012">
        <w:rPr>
          <w:lang w:val="en-US" w:eastAsia="zh-CN"/>
        </w:rPr>
        <w:t>3</w:t>
      </w:r>
      <w:r>
        <w:rPr>
          <w:lang w:val="en-US" w:eastAsia="zh-CN"/>
        </w:rPr>
        <w:t xml:space="preserve">, </w:t>
      </w:r>
      <w:r w:rsidR="00A11012">
        <w:rPr>
          <w:lang w:val="en-US" w:eastAsia="zh-CN"/>
        </w:rPr>
        <w:t>it was agreed that DCI format 1_1 and 1_2 can be used for unified TCI indication. Then there can be the following open issues:</w:t>
      </w:r>
    </w:p>
    <w:p w14:paraId="0B12C548" w14:textId="08FB2126" w:rsidR="00A11012" w:rsidRPr="00A11012" w:rsidRDefault="00A11012" w:rsidP="00A11012">
      <w:pPr>
        <w:pStyle w:val="0Maintext"/>
        <w:numPr>
          <w:ilvl w:val="0"/>
          <w:numId w:val="24"/>
        </w:numPr>
        <w:spacing w:after="120" w:afterAutospacing="0" w:line="240" w:lineRule="auto"/>
        <w:rPr>
          <w:lang w:val="en-US" w:eastAsia="zh-CN"/>
        </w:rPr>
      </w:pPr>
      <w:r>
        <w:rPr>
          <w:lang w:val="en-US" w:eastAsia="zh-CN"/>
        </w:rPr>
        <w:t>Action delay for the DCI</w:t>
      </w:r>
    </w:p>
    <w:p w14:paraId="20B58748" w14:textId="09793C81" w:rsidR="00A11012" w:rsidRDefault="00A11012" w:rsidP="00A11012">
      <w:pPr>
        <w:pStyle w:val="0Maintext"/>
        <w:numPr>
          <w:ilvl w:val="0"/>
          <w:numId w:val="24"/>
        </w:numPr>
        <w:spacing w:after="120" w:afterAutospacing="0" w:line="240" w:lineRule="auto"/>
        <w:rPr>
          <w:lang w:val="en-US" w:eastAsia="zh-CN"/>
        </w:rPr>
      </w:pPr>
      <w:r w:rsidRPr="00A11012">
        <w:rPr>
          <w:lang w:val="en-US" w:eastAsia="zh-CN"/>
        </w:rPr>
        <w:t>ACK mechanism for the DCI</w:t>
      </w:r>
    </w:p>
    <w:p w14:paraId="4D3DCEF0" w14:textId="1C66A3C1" w:rsidR="001C71ED" w:rsidRPr="001C71ED" w:rsidRDefault="001C71ED" w:rsidP="001C71ED">
      <w:pPr>
        <w:pStyle w:val="Heading2"/>
      </w:pPr>
      <w:r>
        <w:t>Action delay</w:t>
      </w:r>
      <w:r w:rsidR="00B30C35">
        <w:t xml:space="preserve"> </w:t>
      </w:r>
    </w:p>
    <w:p w14:paraId="77179C3E" w14:textId="5116D978" w:rsidR="00A9213A" w:rsidRDefault="00A9213A" w:rsidP="00215CAC">
      <w:pPr>
        <w:pStyle w:val="0Maintext"/>
        <w:spacing w:after="120" w:afterAutospacing="0" w:line="240" w:lineRule="auto"/>
        <w:ind w:firstLine="0"/>
        <w:rPr>
          <w:lang w:val="en-US" w:eastAsia="zh-CN"/>
        </w:rPr>
      </w:pPr>
      <w:r>
        <w:rPr>
          <w:lang w:val="en-US" w:eastAsia="zh-CN"/>
        </w:rPr>
        <w:t>With regard to the action delay, the first issue is the starting point to count the action delay. In RAN1 #103, two options are identified:</w:t>
      </w:r>
    </w:p>
    <w:p w14:paraId="4825B6BE" w14:textId="77777777" w:rsidR="00A9213A" w:rsidRPr="00521183" w:rsidRDefault="00A9213A" w:rsidP="00A9213A">
      <w:pPr>
        <w:numPr>
          <w:ilvl w:val="0"/>
          <w:numId w:val="45"/>
        </w:numPr>
        <w:snapToGrid w:val="0"/>
        <w:jc w:val="both"/>
        <w:rPr>
          <w:sz w:val="20"/>
          <w:szCs w:val="20"/>
        </w:rPr>
      </w:pPr>
      <w:r w:rsidRPr="00521183">
        <w:rPr>
          <w:sz w:val="20"/>
          <w:szCs w:val="20"/>
        </w:rPr>
        <w:t>Alt1: the first slot that is at least X ms or Y symbols after the DCI with the joint or separate DL/UL beam indication</w:t>
      </w:r>
    </w:p>
    <w:p w14:paraId="69E0761B" w14:textId="77777777" w:rsidR="00A9213A" w:rsidRPr="00521183" w:rsidRDefault="00A9213A" w:rsidP="00A9213A">
      <w:pPr>
        <w:numPr>
          <w:ilvl w:val="0"/>
          <w:numId w:val="45"/>
        </w:numPr>
        <w:snapToGrid w:val="0"/>
        <w:jc w:val="both"/>
        <w:rPr>
          <w:sz w:val="20"/>
          <w:szCs w:val="20"/>
        </w:rPr>
      </w:pPr>
      <w:r w:rsidRPr="00521183">
        <w:rPr>
          <w:sz w:val="20"/>
          <w:szCs w:val="20"/>
        </w:rPr>
        <w:lastRenderedPageBreak/>
        <w:t xml:space="preserve">Alt2: the first slot that is at least X ms or Y symbols after the acknowledgment of the joint or separate DL/UL beam indication </w:t>
      </w:r>
    </w:p>
    <w:p w14:paraId="74A1C1CF" w14:textId="2F588D1C" w:rsidR="00A9213A" w:rsidRDefault="00A9213A" w:rsidP="00215CAC">
      <w:pPr>
        <w:pStyle w:val="0Maintext"/>
        <w:spacing w:after="120" w:afterAutospacing="0" w:line="240" w:lineRule="auto"/>
        <w:ind w:firstLine="0"/>
        <w:rPr>
          <w:lang w:val="en-CN" w:eastAsia="zh-CN"/>
        </w:rPr>
      </w:pPr>
      <w:r>
        <w:rPr>
          <w:lang w:val="en-CN" w:eastAsia="zh-CN"/>
        </w:rPr>
        <w:t>Alt1 may lead to gNB and UE mismatch if the DCI is missed. Thus compared to Alt1, Alt2 should be more reliable. Thus Alt2 should be supported.</w:t>
      </w:r>
    </w:p>
    <w:p w14:paraId="732A3007" w14:textId="3CEE584B" w:rsidR="00A9213A" w:rsidRDefault="00A9213A" w:rsidP="00215CAC">
      <w:pPr>
        <w:pStyle w:val="0Maintext"/>
        <w:spacing w:after="120" w:afterAutospacing="0" w:line="240" w:lineRule="auto"/>
        <w:ind w:firstLine="0"/>
        <w:rPr>
          <w:lang w:val="en-CN" w:eastAsia="zh-CN"/>
        </w:rPr>
      </w:pPr>
      <w:r>
        <w:rPr>
          <w:lang w:val="en-CN" w:eastAsia="zh-CN"/>
        </w:rPr>
        <w:t>In RAN1 #103, the following alterantives are identifed to define the action delay.</w:t>
      </w:r>
    </w:p>
    <w:p w14:paraId="7DBFC05E" w14:textId="77777777" w:rsidR="00A9213A" w:rsidRPr="00521183" w:rsidRDefault="00A9213A" w:rsidP="00A9213A">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Alt1: The beam application time can be configured by the gNB based on UE capability</w:t>
      </w:r>
    </w:p>
    <w:p w14:paraId="4043C15F" w14:textId="77777777" w:rsidR="00A9213A" w:rsidRPr="00521183" w:rsidRDefault="00A9213A" w:rsidP="00A9213A">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Support a UE capability for the minimum value of beam application time</w:t>
      </w:r>
    </w:p>
    <w:p w14:paraId="025E30A8" w14:textId="77777777" w:rsidR="00A9213A" w:rsidRPr="00521183" w:rsidRDefault="00A9213A" w:rsidP="00A9213A">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 xml:space="preserve">FFS: the exact minimum values of beam application time supported by UE </w:t>
      </w:r>
    </w:p>
    <w:p w14:paraId="727D5A05" w14:textId="77777777" w:rsidR="00A9213A" w:rsidRPr="00521183" w:rsidRDefault="00A9213A" w:rsidP="00A9213A">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FFS: whether existing UE capability can be reused as this UE capability.</w:t>
      </w:r>
    </w:p>
    <w:p w14:paraId="4DF36C7A" w14:textId="77777777" w:rsidR="00A9213A" w:rsidRPr="00521183" w:rsidRDefault="00A9213A" w:rsidP="00A9213A">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FFS: whether different beam application time values are supported for uplink and downlink</w:t>
      </w:r>
    </w:p>
    <w:p w14:paraId="0E955C11" w14:textId="77777777" w:rsidR="00A9213A" w:rsidRPr="00521183" w:rsidRDefault="00A9213A" w:rsidP="00A9213A">
      <w:pPr>
        <w:pStyle w:val="ListParagraph"/>
        <w:numPr>
          <w:ilvl w:val="1"/>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FFS: whether UE capability needs to be introduced for the maximum value of beam application time</w:t>
      </w:r>
    </w:p>
    <w:p w14:paraId="12F9A031" w14:textId="77777777" w:rsidR="00A9213A" w:rsidRPr="00521183" w:rsidRDefault="00A9213A" w:rsidP="00A9213A">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Alt2: The beam application time is fixed and defined in specification</w:t>
      </w:r>
    </w:p>
    <w:p w14:paraId="0D832B21" w14:textId="77777777" w:rsidR="00A9213A" w:rsidRPr="00521183" w:rsidRDefault="00A9213A" w:rsidP="00A9213A">
      <w:pPr>
        <w:pStyle w:val="ListParagraph"/>
        <w:numPr>
          <w:ilvl w:val="0"/>
          <w:numId w:val="45"/>
        </w:numPr>
        <w:snapToGrid w:val="0"/>
        <w:ind w:leftChars="0"/>
        <w:jc w:val="both"/>
        <w:rPr>
          <w:rFonts w:ascii="Times New Roman" w:eastAsia="Times New Roman" w:hAnsi="Times New Roman"/>
          <w:szCs w:val="20"/>
        </w:rPr>
      </w:pPr>
      <w:r w:rsidRPr="00521183">
        <w:rPr>
          <w:rFonts w:ascii="Times New Roman" w:eastAsia="Times New Roman" w:hAnsi="Times New Roman"/>
          <w:szCs w:val="20"/>
        </w:rPr>
        <w:t>Alt3: The beam application time can be configured by the gNB where the minimum value of beam application time is fixed and defined in specification</w:t>
      </w:r>
    </w:p>
    <w:p w14:paraId="6B55B029" w14:textId="721ED8AA" w:rsidR="00A9213A" w:rsidRDefault="00A9213A" w:rsidP="00215CAC">
      <w:pPr>
        <w:pStyle w:val="0Maintext"/>
        <w:spacing w:after="120" w:afterAutospacing="0" w:line="240" w:lineRule="auto"/>
        <w:ind w:firstLine="0"/>
        <w:rPr>
          <w:lang w:eastAsia="zh-CN"/>
        </w:rPr>
      </w:pPr>
      <w:r>
        <w:rPr>
          <w:lang w:eastAsia="zh-CN"/>
        </w:rPr>
        <w:t>Alt2 and Alt3 should consider the worst implementation, which may lead to a large latency. Alt1 can provide flexibility for different types of UE. Thus, Alt1 should be supported.</w:t>
      </w:r>
    </w:p>
    <w:p w14:paraId="246AEE97" w14:textId="4ADFC5FF" w:rsidR="00CA48D8" w:rsidRDefault="00CA48D8" w:rsidP="00215CAC">
      <w:pPr>
        <w:pStyle w:val="0Maintext"/>
        <w:spacing w:after="120" w:afterAutospacing="0" w:line="240" w:lineRule="auto"/>
        <w:ind w:firstLine="0"/>
        <w:rPr>
          <w:lang w:eastAsia="zh-CN"/>
        </w:rPr>
      </w:pPr>
      <w:r>
        <w:rPr>
          <w:lang w:eastAsia="zh-CN"/>
        </w:rPr>
        <w:t>In addition, since the TCI update is based on a two stage signaling, i.e. MAC CE+DCI. One open issue is how to interpret the TCI in DCI if the action delay for MAC CE happens in between the DCI and action time for the DCI as shown in Figure 6. To reduce the beam indication latency, it is better to select the TCI based on the latest MAC CE before the action time for the DCI.</w:t>
      </w:r>
    </w:p>
    <w:p w14:paraId="02C8A8BB" w14:textId="65DDB28A" w:rsidR="00CA48D8" w:rsidRDefault="00CA48D8" w:rsidP="00CA48D8">
      <w:pPr>
        <w:pStyle w:val="0Maintext"/>
        <w:spacing w:after="120" w:afterAutospacing="0" w:line="240" w:lineRule="auto"/>
        <w:ind w:firstLine="0"/>
        <w:jc w:val="center"/>
        <w:rPr>
          <w:lang w:eastAsia="zh-CN"/>
        </w:rPr>
      </w:pPr>
      <w:r w:rsidRPr="00CA48D8">
        <w:rPr>
          <w:noProof/>
          <w:lang w:eastAsia="zh-CN"/>
        </w:rPr>
        <w:drawing>
          <wp:inline distT="0" distB="0" distL="0" distR="0" wp14:anchorId="05174D1A" wp14:editId="106FD590">
            <wp:extent cx="5727700" cy="1271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271270"/>
                    </a:xfrm>
                    <a:prstGeom prst="rect">
                      <a:avLst/>
                    </a:prstGeom>
                  </pic:spPr>
                </pic:pic>
              </a:graphicData>
            </a:graphic>
          </wp:inline>
        </w:drawing>
      </w:r>
    </w:p>
    <w:p w14:paraId="3059262A" w14:textId="42097DB6" w:rsidR="00CA48D8" w:rsidRPr="00CA48D8" w:rsidRDefault="00CA48D8" w:rsidP="00CA48D8">
      <w:pPr>
        <w:pStyle w:val="0Maintext"/>
        <w:spacing w:after="120" w:afterAutospacing="0" w:line="240" w:lineRule="auto"/>
        <w:ind w:firstLine="0"/>
        <w:jc w:val="center"/>
        <w:rPr>
          <w:b/>
          <w:bCs/>
          <w:lang w:eastAsia="zh-CN"/>
        </w:rPr>
      </w:pPr>
      <w:r w:rsidRPr="00CA48D8">
        <w:rPr>
          <w:b/>
          <w:bCs/>
          <w:lang w:eastAsia="zh-CN"/>
        </w:rPr>
        <w:t>Figure 6: Potential ambiguity for MAC CE + DCI based TCI indication</w:t>
      </w:r>
    </w:p>
    <w:p w14:paraId="6BCD774B" w14:textId="3510B153" w:rsidR="00B30C35" w:rsidRDefault="00B30C35" w:rsidP="00215CAC">
      <w:pPr>
        <w:pStyle w:val="0Maintext"/>
        <w:spacing w:after="120" w:afterAutospacing="0" w:line="240" w:lineRule="auto"/>
        <w:ind w:firstLine="0"/>
        <w:rPr>
          <w:lang w:val="en-US" w:eastAsia="zh-CN"/>
        </w:rPr>
      </w:pPr>
      <w:r>
        <w:rPr>
          <w:lang w:val="en-US" w:eastAsia="zh-CN"/>
        </w:rPr>
        <w:t xml:space="preserve">For unknown TCI state, some additional latency should be required for UE beam tracking. Then one possible way is to trigger the aperiodic CSI-RS for beam tracking by the TCI update signaling, where the aperiodic CSI-RS should be QCLed with the DL RS indicated in the new TCI. The number of CSI-RS resources can be reported by UE capability so that gNB can understand how many resources UE needs to perform Rx beam tracking. Further, gNB can let UE know whether intra-symbol beam sweeping is possible or not for the CSI-RS, and when gNB does not multiplex any downlink signals in correlated direction, for IFDMA based CSI-RS, UE can perform the intra-symbol beam refinement as shown in Figure </w:t>
      </w:r>
      <w:r w:rsidR="00CA48D8">
        <w:rPr>
          <w:lang w:val="en-US" w:eastAsia="zh-CN"/>
        </w:rPr>
        <w:t>7</w:t>
      </w:r>
      <w:r>
        <w:rPr>
          <w:lang w:val="en-US" w:eastAsia="zh-CN"/>
        </w:rPr>
        <w:t>.</w:t>
      </w:r>
    </w:p>
    <w:p w14:paraId="1305E829" w14:textId="77777777" w:rsidR="00B30C35" w:rsidRDefault="00B30C35" w:rsidP="00B30C35">
      <w:pPr>
        <w:pStyle w:val="0Maintext"/>
        <w:spacing w:after="120" w:afterAutospacing="0" w:line="240" w:lineRule="auto"/>
        <w:ind w:firstLine="0"/>
        <w:jc w:val="center"/>
        <w:rPr>
          <w:lang w:val="en-US" w:eastAsia="zh-CN"/>
        </w:rPr>
      </w:pPr>
      <w:r w:rsidRPr="004C7036">
        <w:rPr>
          <w:noProof/>
          <w:lang w:val="en-US" w:eastAsia="zh-CN"/>
        </w:rPr>
        <w:lastRenderedPageBreak/>
        <w:drawing>
          <wp:inline distT="0" distB="0" distL="0" distR="0" wp14:anchorId="22F416E8" wp14:editId="091F8EC9">
            <wp:extent cx="5727700" cy="296608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966085"/>
                    </a:xfrm>
                    <a:prstGeom prst="rect">
                      <a:avLst/>
                    </a:prstGeom>
                  </pic:spPr>
                </pic:pic>
              </a:graphicData>
            </a:graphic>
          </wp:inline>
        </w:drawing>
      </w:r>
    </w:p>
    <w:p w14:paraId="64A82DDB" w14:textId="08516C77" w:rsidR="00B30C35" w:rsidRPr="004C7036" w:rsidRDefault="00B30C35" w:rsidP="00B30C35">
      <w:pPr>
        <w:pStyle w:val="0Maintext"/>
        <w:spacing w:after="120" w:afterAutospacing="0" w:line="240" w:lineRule="auto"/>
        <w:ind w:firstLine="0"/>
        <w:jc w:val="center"/>
        <w:rPr>
          <w:b/>
          <w:bCs/>
          <w:lang w:val="en-US" w:eastAsia="zh-CN"/>
        </w:rPr>
      </w:pPr>
      <w:r w:rsidRPr="004C7036">
        <w:rPr>
          <w:b/>
          <w:bCs/>
          <w:lang w:val="en-US" w:eastAsia="zh-CN"/>
        </w:rPr>
        <w:t xml:space="preserve">Figure </w:t>
      </w:r>
      <w:r w:rsidR="00CA48D8">
        <w:rPr>
          <w:b/>
          <w:bCs/>
          <w:lang w:val="en-US" w:eastAsia="zh-CN"/>
        </w:rPr>
        <w:t>7</w:t>
      </w:r>
      <w:r w:rsidRPr="004C7036">
        <w:rPr>
          <w:b/>
          <w:bCs/>
          <w:lang w:val="en-US" w:eastAsia="zh-CN"/>
        </w:rPr>
        <w:t>: An example for CSI-RS based intra-symbol beam sweeping</w:t>
      </w:r>
    </w:p>
    <w:p w14:paraId="7878D738" w14:textId="55AA9249" w:rsidR="00215CAC" w:rsidRDefault="000923EC" w:rsidP="00215CAC">
      <w:pPr>
        <w:pStyle w:val="0Maintext"/>
        <w:spacing w:after="120" w:afterAutospacing="0" w:line="240" w:lineRule="auto"/>
        <w:ind w:firstLine="0"/>
        <w:rPr>
          <w:b/>
          <w:bCs/>
          <w:i/>
          <w:iCs/>
          <w:lang w:val="en-US" w:eastAsia="zh-CN"/>
        </w:rPr>
      </w:pPr>
      <w:r w:rsidRPr="000923EC">
        <w:rPr>
          <w:b/>
          <w:bCs/>
          <w:i/>
          <w:iCs/>
          <w:lang w:val="en-US" w:eastAsia="zh-CN"/>
        </w:rPr>
        <w:t xml:space="preserve">Proposal </w:t>
      </w:r>
      <w:r w:rsidR="00A9213A">
        <w:rPr>
          <w:b/>
          <w:bCs/>
          <w:i/>
          <w:iCs/>
          <w:lang w:val="en-US" w:eastAsia="zh-CN"/>
        </w:rPr>
        <w:t>8</w:t>
      </w:r>
      <w:r w:rsidRPr="000923EC">
        <w:rPr>
          <w:b/>
          <w:bCs/>
          <w:i/>
          <w:iCs/>
          <w:lang w:val="en-US" w:eastAsia="zh-CN"/>
        </w:rPr>
        <w:t xml:space="preserve">: </w:t>
      </w:r>
      <w:r w:rsidR="00A9213A">
        <w:rPr>
          <w:b/>
          <w:bCs/>
          <w:i/>
          <w:iCs/>
          <w:lang w:val="en-US" w:eastAsia="zh-CN"/>
        </w:rPr>
        <w:t>For unified TCI update, the starting point to count action delay should be the last symbol of acknowledgement report</w:t>
      </w:r>
      <w:r w:rsidRPr="000923EC">
        <w:rPr>
          <w:b/>
          <w:bCs/>
          <w:i/>
          <w:iCs/>
          <w:lang w:val="en-US" w:eastAsia="zh-CN"/>
        </w:rPr>
        <w:t>.</w:t>
      </w:r>
    </w:p>
    <w:p w14:paraId="0BBAD496" w14:textId="5C6F920B" w:rsidR="00A9213A" w:rsidRDefault="00A9213A" w:rsidP="00215CAC">
      <w:pPr>
        <w:pStyle w:val="0Maintext"/>
        <w:spacing w:after="120" w:afterAutospacing="0" w:line="240" w:lineRule="auto"/>
        <w:ind w:firstLine="0"/>
        <w:rPr>
          <w:b/>
          <w:bCs/>
          <w:i/>
          <w:iCs/>
          <w:lang w:val="en-CN" w:eastAsia="zh-CN"/>
        </w:rPr>
      </w:pPr>
      <w:r>
        <w:rPr>
          <w:b/>
          <w:bCs/>
          <w:i/>
          <w:iCs/>
          <w:lang w:val="en-US" w:eastAsia="zh-CN"/>
        </w:rPr>
        <w:t xml:space="preserve">Proposal 9: Support </w:t>
      </w:r>
      <w:r>
        <w:rPr>
          <w:b/>
          <w:bCs/>
          <w:i/>
          <w:iCs/>
          <w:lang w:val="en-CN" w:eastAsia="zh-CN"/>
        </w:rPr>
        <w:t>t</w:t>
      </w:r>
      <w:r w:rsidRPr="00A9213A">
        <w:rPr>
          <w:b/>
          <w:bCs/>
          <w:i/>
          <w:iCs/>
          <w:lang w:val="en-CN" w:eastAsia="zh-CN"/>
        </w:rPr>
        <w:t>he beam application time can be configured by the gNB based on UE capability</w:t>
      </w:r>
    </w:p>
    <w:p w14:paraId="3F42A87B" w14:textId="5B52B0CC" w:rsidR="00CA48D8" w:rsidRDefault="00CA48D8" w:rsidP="00215CAC">
      <w:pPr>
        <w:pStyle w:val="0Maintext"/>
        <w:spacing w:after="120" w:afterAutospacing="0" w:line="240" w:lineRule="auto"/>
        <w:ind w:firstLine="0"/>
        <w:rPr>
          <w:b/>
          <w:bCs/>
          <w:i/>
          <w:iCs/>
          <w:lang w:val="en-US" w:eastAsia="zh-CN"/>
        </w:rPr>
      </w:pPr>
      <w:r>
        <w:rPr>
          <w:b/>
          <w:bCs/>
          <w:i/>
          <w:iCs/>
          <w:lang w:val="en-CN" w:eastAsia="zh-CN"/>
        </w:rPr>
        <w:t>Proposal 10: The TCI in DCI should be selected based on the latest MAC CE before the action time for the DCI.</w:t>
      </w:r>
    </w:p>
    <w:p w14:paraId="2B3DBC5C" w14:textId="7F0264ED" w:rsidR="00B30C35" w:rsidRDefault="00B30C35" w:rsidP="00215CAC">
      <w:pPr>
        <w:pStyle w:val="0Maintext"/>
        <w:spacing w:after="120" w:afterAutospacing="0" w:line="240" w:lineRule="auto"/>
        <w:ind w:firstLine="0"/>
        <w:rPr>
          <w:b/>
          <w:bCs/>
          <w:i/>
          <w:iCs/>
          <w:lang w:val="en-US" w:eastAsia="zh-CN"/>
        </w:rPr>
      </w:pPr>
      <w:r>
        <w:rPr>
          <w:b/>
          <w:bCs/>
          <w:i/>
          <w:iCs/>
          <w:lang w:val="en-US" w:eastAsia="zh-CN"/>
        </w:rPr>
        <w:t>Proposal 1</w:t>
      </w:r>
      <w:r w:rsidR="00CA48D8">
        <w:rPr>
          <w:b/>
          <w:bCs/>
          <w:i/>
          <w:iCs/>
          <w:lang w:val="en-US" w:eastAsia="zh-CN"/>
        </w:rPr>
        <w:t>1</w:t>
      </w:r>
      <w:r>
        <w:rPr>
          <w:b/>
          <w:bCs/>
          <w:i/>
          <w:iCs/>
          <w:lang w:val="en-US" w:eastAsia="zh-CN"/>
        </w:rPr>
        <w:t xml:space="preserve">: </w:t>
      </w:r>
      <w:r w:rsidR="00A9213A">
        <w:rPr>
          <w:b/>
          <w:bCs/>
          <w:i/>
          <w:iCs/>
          <w:lang w:val="en-US" w:eastAsia="zh-CN"/>
        </w:rPr>
        <w:t>For unknown TCI state, s</w:t>
      </w:r>
      <w:r>
        <w:rPr>
          <w:b/>
          <w:bCs/>
          <w:i/>
          <w:iCs/>
          <w:lang w:val="en-US" w:eastAsia="zh-CN"/>
        </w:rPr>
        <w:t xml:space="preserve">upport </w:t>
      </w:r>
      <w:r w:rsidR="009772B9" w:rsidRPr="000923EC">
        <w:rPr>
          <w:b/>
          <w:bCs/>
          <w:i/>
          <w:iCs/>
          <w:lang w:val="en-US" w:eastAsia="zh-CN"/>
        </w:rPr>
        <w:t xml:space="preserve">the </w:t>
      </w:r>
      <w:r w:rsidR="009772B9">
        <w:rPr>
          <w:b/>
          <w:bCs/>
          <w:i/>
          <w:iCs/>
          <w:lang w:val="en-US" w:eastAsia="zh-CN"/>
        </w:rPr>
        <w:t xml:space="preserve">minimal </w:t>
      </w:r>
      <w:r w:rsidR="009772B9" w:rsidRPr="000923EC">
        <w:rPr>
          <w:b/>
          <w:bCs/>
          <w:i/>
          <w:iCs/>
          <w:lang w:val="en-US" w:eastAsia="zh-CN"/>
        </w:rPr>
        <w:t xml:space="preserve">TCI update delay to be </w:t>
      </w:r>
      <w:r w:rsidR="009772B9">
        <w:rPr>
          <w:b/>
          <w:bCs/>
          <w:i/>
          <w:iCs/>
          <w:lang w:val="en-US" w:eastAsia="zh-CN"/>
        </w:rPr>
        <w:t>(</w:t>
      </w:r>
      <w:r w:rsidR="00EE70D2">
        <w:rPr>
          <w:b/>
          <w:bCs/>
          <w:i/>
          <w:iCs/>
          <w:lang w:val="en-US" w:eastAsia="zh-CN"/>
        </w:rPr>
        <w:t>X</w:t>
      </w:r>
      <w:r w:rsidR="009772B9">
        <w:rPr>
          <w:b/>
          <w:bCs/>
          <w:i/>
          <w:iCs/>
          <w:lang w:val="en-US" w:eastAsia="zh-CN"/>
        </w:rPr>
        <w:t xml:space="preserve">+K) ms, where K ms is used for UE beam tracking </w:t>
      </w:r>
      <w:r w:rsidR="00A9213A">
        <w:rPr>
          <w:b/>
          <w:bCs/>
          <w:i/>
          <w:iCs/>
          <w:lang w:val="en-US" w:eastAsia="zh-CN"/>
        </w:rPr>
        <w:t>and X ms is the delay when indicated TCI state is known</w:t>
      </w:r>
    </w:p>
    <w:p w14:paraId="41750C03" w14:textId="75E10479" w:rsidR="009772B9" w:rsidRDefault="009772B9" w:rsidP="00B30C35">
      <w:pPr>
        <w:pStyle w:val="0Maintext"/>
        <w:numPr>
          <w:ilvl w:val="0"/>
          <w:numId w:val="33"/>
        </w:numPr>
        <w:spacing w:after="120" w:afterAutospacing="0" w:line="240" w:lineRule="auto"/>
        <w:rPr>
          <w:b/>
          <w:bCs/>
          <w:i/>
          <w:iCs/>
          <w:lang w:val="en-US" w:eastAsia="zh-CN"/>
        </w:rPr>
      </w:pPr>
      <w:r>
        <w:rPr>
          <w:b/>
          <w:bCs/>
          <w:i/>
          <w:iCs/>
          <w:lang w:val="en-US" w:eastAsia="zh-CN"/>
        </w:rPr>
        <w:t xml:space="preserve">Support </w:t>
      </w:r>
      <w:r w:rsidR="00A9213A">
        <w:rPr>
          <w:b/>
          <w:bCs/>
          <w:i/>
          <w:iCs/>
          <w:lang w:val="en-US" w:eastAsia="zh-CN"/>
        </w:rPr>
        <w:t>DCI format 1_1/1_2</w:t>
      </w:r>
      <w:r>
        <w:rPr>
          <w:b/>
          <w:bCs/>
          <w:i/>
          <w:iCs/>
          <w:lang w:val="en-US" w:eastAsia="zh-CN"/>
        </w:rPr>
        <w:t xml:space="preserve"> to trigger aperiodic CSI-RS resources QCLed with the DL RS configured in the indicated TCI state</w:t>
      </w:r>
    </w:p>
    <w:p w14:paraId="74D4BA5A" w14:textId="009DD15A" w:rsidR="00B30C35" w:rsidRDefault="00B30C35" w:rsidP="00B30C35">
      <w:pPr>
        <w:pStyle w:val="0Maintext"/>
        <w:numPr>
          <w:ilvl w:val="0"/>
          <w:numId w:val="33"/>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1D620B2A" w14:textId="1CCE7AA8" w:rsidR="00B30C35" w:rsidRPr="000923EC" w:rsidRDefault="00B30C35" w:rsidP="00B30C35">
      <w:pPr>
        <w:pStyle w:val="0Maintext"/>
        <w:numPr>
          <w:ilvl w:val="0"/>
          <w:numId w:val="33"/>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w:t>
      </w:r>
      <w:r w:rsidR="009772B9">
        <w:rPr>
          <w:b/>
          <w:bCs/>
          <w:i/>
          <w:iCs/>
          <w:lang w:val="en-US" w:eastAsia="zh-CN"/>
        </w:rPr>
        <w:t xml:space="preserve"> is enabled</w:t>
      </w:r>
    </w:p>
    <w:p w14:paraId="2CAFFE5E" w14:textId="5AF31196" w:rsidR="001C71ED" w:rsidRPr="001C71ED" w:rsidRDefault="00A9213A" w:rsidP="001C71ED">
      <w:pPr>
        <w:pStyle w:val="Heading2"/>
      </w:pPr>
      <w:r>
        <w:t>ACK for DCI</w:t>
      </w:r>
    </w:p>
    <w:p w14:paraId="4344E61A" w14:textId="2E69C1D5" w:rsidR="00A9213A" w:rsidRDefault="00A9213A" w:rsidP="00215CAC">
      <w:pPr>
        <w:pStyle w:val="0Maintext"/>
        <w:spacing w:after="120" w:afterAutospacing="0" w:line="240" w:lineRule="auto"/>
        <w:ind w:firstLine="0"/>
        <w:rPr>
          <w:lang w:val="en-US" w:eastAsia="zh-CN"/>
        </w:rPr>
      </w:pPr>
      <w:r>
        <w:rPr>
          <w:lang w:val="en-US" w:eastAsia="zh-CN"/>
        </w:rPr>
        <w:t xml:space="preserve">Currently UE reports HARQ-ACK for the PDSCH triggered by DCI format 1_1/1_2. But when UE reports NACK, gNB cannot identify whether this NACK is because UE failed to decode PDSCH or PDCCH. Thus some ACK mechanisms for the TCI update DCI need to be introduced. </w:t>
      </w:r>
    </w:p>
    <w:p w14:paraId="696BCE75" w14:textId="78DEE572" w:rsidR="00CA48D8" w:rsidRDefault="00A9213A" w:rsidP="00215CAC">
      <w:pPr>
        <w:pStyle w:val="0Maintext"/>
        <w:spacing w:after="120" w:afterAutospacing="0" w:line="240" w:lineRule="auto"/>
        <w:ind w:firstLine="0"/>
        <w:rPr>
          <w:lang w:val="en-US" w:eastAsia="zh-CN"/>
        </w:rPr>
      </w:pPr>
      <w:r>
        <w:rPr>
          <w:lang w:val="en-US" w:eastAsia="zh-CN"/>
        </w:rPr>
        <w:t>Usually</w:t>
      </w:r>
      <w:r w:rsidR="00CA48D8">
        <w:rPr>
          <w:lang w:val="en-US" w:eastAsia="zh-CN"/>
        </w:rPr>
        <w:t>,</w:t>
      </w:r>
      <w:r>
        <w:rPr>
          <w:lang w:val="en-US" w:eastAsia="zh-CN"/>
        </w:rPr>
        <w:t xml:space="preserve"> all the UE action regarding the DCI can be considered as ACK for the DCI.</w:t>
      </w:r>
      <w:r w:rsidR="00CA48D8">
        <w:rPr>
          <w:lang w:val="en-US" w:eastAsia="zh-CN"/>
        </w:rPr>
        <w:t xml:space="preserve"> If the DCI triggered aperiodic SRS transmission and UE transmits the SRS, gNB can assume the DCI is received regardless of whether UE reports an ACK or NACK. In addition, for the downlink slots corresponding to an HARQ codebook, it is not necessary to trigger multiple TCI update signaling. So</w:t>
      </w:r>
      <w:r w:rsidR="00990D66">
        <w:rPr>
          <w:lang w:val="en-US" w:eastAsia="zh-CN"/>
        </w:rPr>
        <w:t>,</w:t>
      </w:r>
      <w:r w:rsidR="00CA48D8">
        <w:rPr>
          <w:lang w:val="en-US" w:eastAsia="zh-CN"/>
        </w:rPr>
        <w:t xml:space="preserve"> one additional bit can be added in the HARQ codebook to indicate whether UE receives an TCI update signaling for the corresponding downlink slots as shown in Figure </w:t>
      </w:r>
      <w:r w:rsidR="002C1494">
        <w:rPr>
          <w:lang w:val="en-US" w:eastAsia="zh-CN"/>
        </w:rPr>
        <w:t>8</w:t>
      </w:r>
      <w:r w:rsidR="00CA48D8">
        <w:rPr>
          <w:lang w:val="en-US" w:eastAsia="zh-CN"/>
        </w:rPr>
        <w:t>.</w:t>
      </w:r>
    </w:p>
    <w:p w14:paraId="07339097" w14:textId="281A9261" w:rsidR="00CA48D8"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1E6E4D03" wp14:editId="5DF65618">
            <wp:extent cx="5727700" cy="10502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1050290"/>
                    </a:xfrm>
                    <a:prstGeom prst="rect">
                      <a:avLst/>
                    </a:prstGeom>
                  </pic:spPr>
                </pic:pic>
              </a:graphicData>
            </a:graphic>
          </wp:inline>
        </w:drawing>
      </w:r>
    </w:p>
    <w:p w14:paraId="31779697" w14:textId="285496E8" w:rsidR="00B1523B" w:rsidRDefault="00B1523B" w:rsidP="00B1523B">
      <w:pPr>
        <w:pStyle w:val="0Maintext"/>
        <w:spacing w:after="120" w:afterAutospacing="0" w:line="240" w:lineRule="auto"/>
        <w:ind w:firstLine="0"/>
        <w:jc w:val="center"/>
        <w:rPr>
          <w:lang w:val="en-US" w:eastAsia="zh-CN"/>
        </w:rPr>
      </w:pPr>
      <w:r w:rsidRPr="00B1523B">
        <w:rPr>
          <w:noProof/>
          <w:lang w:val="en-US" w:eastAsia="zh-CN"/>
        </w:rPr>
        <w:lastRenderedPageBreak/>
        <w:drawing>
          <wp:inline distT="0" distB="0" distL="0" distR="0" wp14:anchorId="502E0EEF" wp14:editId="1015AC11">
            <wp:extent cx="5727700" cy="1050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1050290"/>
                    </a:xfrm>
                    <a:prstGeom prst="rect">
                      <a:avLst/>
                    </a:prstGeom>
                  </pic:spPr>
                </pic:pic>
              </a:graphicData>
            </a:graphic>
          </wp:inline>
        </w:drawing>
      </w:r>
    </w:p>
    <w:p w14:paraId="36C4944A" w14:textId="0F6AB74D" w:rsidR="00B1523B" w:rsidRPr="00B1523B" w:rsidRDefault="00CA48D8" w:rsidP="00B1523B">
      <w:pPr>
        <w:pStyle w:val="0Maintext"/>
        <w:spacing w:after="120" w:afterAutospacing="0" w:line="240" w:lineRule="auto"/>
        <w:ind w:firstLine="0"/>
        <w:jc w:val="center"/>
        <w:rPr>
          <w:b/>
          <w:bCs/>
          <w:lang w:val="en-US" w:eastAsia="zh-CN"/>
        </w:rPr>
      </w:pPr>
      <w:r w:rsidRPr="00B1523B">
        <w:rPr>
          <w:b/>
          <w:bCs/>
          <w:lang w:val="en-US" w:eastAsia="zh-CN"/>
        </w:rPr>
        <w:t xml:space="preserve">Figure </w:t>
      </w:r>
      <w:r w:rsidR="002C1494">
        <w:rPr>
          <w:b/>
          <w:bCs/>
          <w:lang w:val="en-US" w:eastAsia="zh-CN"/>
        </w:rPr>
        <w:t>8</w:t>
      </w:r>
      <w:r w:rsidRPr="00B1523B">
        <w:rPr>
          <w:b/>
          <w:bCs/>
          <w:lang w:val="en-US" w:eastAsia="zh-CN"/>
        </w:rPr>
        <w:t>: ACK mechanism for TCI update</w:t>
      </w:r>
      <w:r w:rsidR="008D18C8">
        <w:rPr>
          <w:b/>
          <w:bCs/>
          <w:lang w:val="en-US" w:eastAsia="zh-CN"/>
        </w:rPr>
        <w:t xml:space="preserve"> based on Type1 HARQ codebook</w:t>
      </w:r>
      <w:r w:rsidR="00B1523B" w:rsidRPr="00B1523B">
        <w:rPr>
          <w:b/>
          <w:bCs/>
          <w:lang w:val="en-US" w:eastAsia="zh-CN"/>
        </w:rPr>
        <w:t>, where the 5</w:t>
      </w:r>
      <w:r w:rsidR="00B1523B" w:rsidRPr="00B1523B">
        <w:rPr>
          <w:b/>
          <w:bCs/>
          <w:vertAlign w:val="superscript"/>
          <w:lang w:val="en-US" w:eastAsia="zh-CN"/>
        </w:rPr>
        <w:t>th</w:t>
      </w:r>
      <w:r w:rsidR="00B1523B" w:rsidRPr="00B1523B">
        <w:rPr>
          <w:b/>
          <w:bCs/>
          <w:lang w:val="en-US" w:eastAsia="zh-CN"/>
        </w:rPr>
        <w:t xml:space="preserve"> bit indicates whether UE receives a TCI update or not</w:t>
      </w:r>
    </w:p>
    <w:p w14:paraId="0F9AFD6C" w14:textId="7DBE055E" w:rsidR="00B1523B" w:rsidRPr="00990D66" w:rsidRDefault="00B1523B" w:rsidP="00215CAC">
      <w:pPr>
        <w:pStyle w:val="0Maintext"/>
        <w:spacing w:after="120" w:afterAutospacing="0" w:line="240" w:lineRule="auto"/>
        <w:ind w:firstLine="0"/>
        <w:rPr>
          <w:b/>
          <w:bCs/>
          <w:i/>
          <w:iCs/>
          <w:lang w:val="en-US" w:eastAsia="zh-CN"/>
        </w:rPr>
      </w:pPr>
      <w:r w:rsidRPr="00990D66">
        <w:rPr>
          <w:b/>
          <w:bCs/>
          <w:i/>
          <w:iCs/>
          <w:lang w:val="en-US" w:eastAsia="zh-CN"/>
        </w:rPr>
        <w:t>Proposal 1</w:t>
      </w:r>
      <w:r w:rsidR="00990D66" w:rsidRPr="00990D66">
        <w:rPr>
          <w:b/>
          <w:bCs/>
          <w:i/>
          <w:iCs/>
          <w:lang w:val="en-US" w:eastAsia="zh-CN"/>
        </w:rPr>
        <w:t xml:space="preserve">2: UE shall expect gNB updates TCI </w:t>
      </w:r>
      <w:r w:rsidR="008D18C8">
        <w:rPr>
          <w:b/>
          <w:bCs/>
          <w:i/>
          <w:iCs/>
          <w:lang w:val="en-US" w:eastAsia="zh-CN"/>
        </w:rPr>
        <w:t xml:space="preserve">at most </w:t>
      </w:r>
      <w:r w:rsidR="00990D66" w:rsidRPr="00990D66">
        <w:rPr>
          <w:b/>
          <w:bCs/>
          <w:i/>
          <w:iCs/>
          <w:lang w:val="en-US" w:eastAsia="zh-CN"/>
        </w:rPr>
        <w:t>once in downlink slots corresponding to a HARQ codebook.</w:t>
      </w:r>
    </w:p>
    <w:p w14:paraId="14677A35" w14:textId="671AABAF" w:rsidR="00990D66" w:rsidRDefault="00990D66" w:rsidP="00990D66">
      <w:pPr>
        <w:pStyle w:val="0Maintext"/>
        <w:numPr>
          <w:ilvl w:val="0"/>
          <w:numId w:val="47"/>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05395316" w14:textId="29433FB8" w:rsidR="00990D66" w:rsidRPr="00990D66" w:rsidRDefault="00990D66" w:rsidP="00990D66">
      <w:pPr>
        <w:pStyle w:val="0Maintext"/>
        <w:numPr>
          <w:ilvl w:val="0"/>
          <w:numId w:val="47"/>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7A657618" w14:textId="77777777" w:rsidR="00021891" w:rsidRDefault="00021891" w:rsidP="00021891">
      <w:pPr>
        <w:pStyle w:val="0Maintext"/>
        <w:spacing w:after="120" w:afterAutospacing="0" w:line="240" w:lineRule="auto"/>
        <w:rPr>
          <w:lang w:val="en-US" w:eastAsia="zh-CN"/>
        </w:rPr>
      </w:pPr>
    </w:p>
    <w:p w14:paraId="3D77833C" w14:textId="296F2AE3" w:rsidR="00BC2D50" w:rsidRDefault="00BC2D50" w:rsidP="00BC2D50">
      <w:pPr>
        <w:pStyle w:val="Heading1"/>
      </w:pPr>
      <w:r>
        <w:t>Issue 4: Fast UL Panel Selection</w:t>
      </w:r>
    </w:p>
    <w:p w14:paraId="2A158C1B" w14:textId="2A9FBE55" w:rsidR="00021891" w:rsidRDefault="009C3BBA" w:rsidP="009C3BBA">
      <w:pPr>
        <w:pStyle w:val="0Maintext"/>
        <w:spacing w:after="120" w:afterAutospacing="0" w:line="240" w:lineRule="auto"/>
        <w:ind w:firstLine="0"/>
        <w:rPr>
          <w:lang w:val="en-US" w:eastAsia="zh-CN"/>
        </w:rPr>
      </w:pPr>
      <w:r>
        <w:rPr>
          <w:lang w:val="en-US" w:eastAsia="zh-CN"/>
        </w:rPr>
        <w:t xml:space="preserve">In Rel-16, the uplink beam selection per panel has been discussed. However, RAN1 failed to specify the uplink panel selection. The first issue is how to define the uplink panel. </w:t>
      </w:r>
      <w:r w:rsidR="00021891">
        <w:rPr>
          <w:lang w:val="en-US" w:eastAsia="zh-CN"/>
        </w:rPr>
        <w:t xml:space="preserve">In RAN1 #102 meeting, it has been agreed that different panels may have different number ports, different EIRP and different number of beams. Then a panel should be defined as a group of antenna ports, where the antenna port to antenna element mapping could be up to UE implementation. </w:t>
      </w:r>
      <w:r w:rsidR="00BE0401">
        <w:rPr>
          <w:lang w:val="en-US" w:eastAsia="zh-CN"/>
        </w:rPr>
        <w:t>Since different panels could have different properties, UE can report the corresponding UE capability to gNB about number of antenna ports groups, and for each antenna ports group, UE can report number of SRS antenna ports as well as number of beams.</w:t>
      </w:r>
    </w:p>
    <w:p w14:paraId="2C5415BA" w14:textId="6269505B" w:rsidR="00021891" w:rsidRPr="00BE0401" w:rsidRDefault="00021891" w:rsidP="009C3BBA">
      <w:pPr>
        <w:pStyle w:val="0Maintext"/>
        <w:spacing w:after="120" w:afterAutospacing="0" w:line="240" w:lineRule="auto"/>
        <w:ind w:firstLine="0"/>
        <w:rPr>
          <w:b/>
          <w:bCs/>
          <w:i/>
          <w:iCs/>
          <w:lang w:val="en-US" w:eastAsia="zh-CN"/>
        </w:rPr>
      </w:pPr>
      <w:r w:rsidRPr="00BE0401">
        <w:rPr>
          <w:b/>
          <w:bCs/>
          <w:i/>
          <w:iCs/>
          <w:lang w:val="en-US" w:eastAsia="zh-CN"/>
        </w:rPr>
        <w:t>Proposal 1</w:t>
      </w:r>
      <w:r w:rsidR="00990D66">
        <w:rPr>
          <w:b/>
          <w:bCs/>
          <w:i/>
          <w:iCs/>
          <w:lang w:val="en-US" w:eastAsia="zh-CN"/>
        </w:rPr>
        <w:t>3</w:t>
      </w:r>
      <w:r w:rsidRPr="00BE0401">
        <w:rPr>
          <w:b/>
          <w:bCs/>
          <w:i/>
          <w:iCs/>
          <w:lang w:val="en-US" w:eastAsia="zh-CN"/>
        </w:rPr>
        <w:t>: A panel should be defined as a group of antenna ports, where the antenna port to antenna element mapping should be transparent in specification.</w:t>
      </w:r>
    </w:p>
    <w:p w14:paraId="2761B765" w14:textId="71AD90FA" w:rsidR="00BE0401" w:rsidRPr="00BE0401" w:rsidRDefault="00BE0401" w:rsidP="00BE0401">
      <w:pPr>
        <w:pStyle w:val="0Maintext"/>
        <w:numPr>
          <w:ilvl w:val="0"/>
          <w:numId w:val="36"/>
        </w:numPr>
        <w:spacing w:after="120" w:afterAutospacing="0" w:line="240" w:lineRule="auto"/>
        <w:rPr>
          <w:b/>
          <w:bCs/>
          <w:i/>
          <w:iCs/>
          <w:lang w:val="en-US" w:eastAsia="zh-CN"/>
        </w:rPr>
      </w:pPr>
      <w:r w:rsidRPr="00BE0401">
        <w:rPr>
          <w:b/>
          <w:bCs/>
          <w:i/>
          <w:iCs/>
          <w:lang w:val="en-US" w:eastAsia="zh-CN"/>
        </w:rPr>
        <w:t>Support UE reports the capability of number of antenna ports groups, and for each antenna ports group, UE can report number of SRS antenna ports and number of beams</w:t>
      </w:r>
    </w:p>
    <w:p w14:paraId="0596B6F5" w14:textId="1C227DED" w:rsidR="009C3BBA" w:rsidRDefault="00BE0401" w:rsidP="00BE0401">
      <w:pPr>
        <w:pStyle w:val="0Maintext"/>
        <w:spacing w:after="120" w:afterAutospacing="0" w:line="240" w:lineRule="auto"/>
        <w:ind w:firstLine="0"/>
        <w:rPr>
          <w:lang w:val="en-US" w:eastAsia="zh-CN"/>
        </w:rPr>
      </w:pPr>
      <w:r>
        <w:rPr>
          <w:lang w:val="en-US" w:eastAsia="zh-CN"/>
        </w:rPr>
        <w:t>In beam reporting, UE can report the antenna ports group index associated with a DL RS. Then if the DL RS is configured in active TCI, UE can switch to the corresponding antenna ports group. A</w:t>
      </w:r>
      <w:r w:rsidR="009C3BBA">
        <w:rPr>
          <w:lang w:val="en-US" w:eastAsia="zh-CN"/>
        </w:rPr>
        <w:t>fter panel switching, there could be some UE capabilities change. The gNB should update relevant configuration for the new UE capabilities.</w:t>
      </w:r>
      <w:r>
        <w:rPr>
          <w:lang w:val="en-US" w:eastAsia="zh-CN"/>
        </w:rPr>
        <w:t xml:space="preserve"> To avoid RRC reconfiguration, gNB can preconfigure the RRC parameters for each antenna ports group. Then the RRC parameters should be automatically applied after TCI indication.</w:t>
      </w:r>
    </w:p>
    <w:p w14:paraId="32F303B4" w14:textId="1996C6F8" w:rsidR="00BE0401" w:rsidRPr="00BE0401" w:rsidRDefault="00BE0401" w:rsidP="00BE0401">
      <w:pPr>
        <w:pStyle w:val="0Maintext"/>
        <w:spacing w:after="120" w:afterAutospacing="0" w:line="240" w:lineRule="auto"/>
        <w:ind w:firstLine="0"/>
        <w:rPr>
          <w:b/>
          <w:bCs/>
          <w:i/>
          <w:iCs/>
          <w:lang w:val="en-US" w:eastAsia="zh-CN"/>
        </w:rPr>
      </w:pPr>
      <w:r w:rsidRPr="00BE0401">
        <w:rPr>
          <w:b/>
          <w:bCs/>
          <w:i/>
          <w:iCs/>
          <w:lang w:val="en-US" w:eastAsia="zh-CN"/>
        </w:rPr>
        <w:t>Proposal 1</w:t>
      </w:r>
      <w:r w:rsidR="00990D66">
        <w:rPr>
          <w:b/>
          <w:bCs/>
          <w:i/>
          <w:iCs/>
          <w:lang w:val="en-US" w:eastAsia="zh-CN"/>
        </w:rPr>
        <w:t>4</w:t>
      </w:r>
      <w:r w:rsidRPr="00BE0401">
        <w:rPr>
          <w:b/>
          <w:bCs/>
          <w:i/>
          <w:iCs/>
          <w:lang w:val="en-US" w:eastAsia="zh-CN"/>
        </w:rPr>
        <w:t>: In beam reporting, support UE to report the antenna ports group (APG) index for each SSB/CSI-RS.</w:t>
      </w:r>
    </w:p>
    <w:p w14:paraId="23738020" w14:textId="06074985" w:rsidR="00BE0401" w:rsidRPr="00BE0401" w:rsidRDefault="00BE0401" w:rsidP="00BE0401">
      <w:pPr>
        <w:pStyle w:val="0Maintext"/>
        <w:numPr>
          <w:ilvl w:val="0"/>
          <w:numId w:val="36"/>
        </w:numPr>
        <w:spacing w:after="120" w:afterAutospacing="0" w:line="240" w:lineRule="auto"/>
        <w:rPr>
          <w:b/>
          <w:bCs/>
          <w:i/>
          <w:iCs/>
          <w:lang w:val="en-US" w:eastAsia="zh-CN"/>
        </w:rPr>
      </w:pPr>
      <w:r w:rsidRPr="00BE0401">
        <w:rPr>
          <w:b/>
          <w:bCs/>
          <w:i/>
          <w:iCs/>
          <w:lang w:val="en-US" w:eastAsia="zh-CN"/>
        </w:rPr>
        <w:t>Support gNB to preconfigure some RRC parameters for each APG, and the RRC parameters for a APG should be applied when TCI with the corresponding SSB/CSI-RS is indicated</w:t>
      </w:r>
    </w:p>
    <w:p w14:paraId="63D37109" w14:textId="76284A79" w:rsidR="00BE0401" w:rsidRDefault="00BE0401" w:rsidP="00BE0401">
      <w:pPr>
        <w:pStyle w:val="Heading1"/>
      </w:pPr>
      <w:r>
        <w:t>Issue 5: MPE Handling</w:t>
      </w:r>
    </w:p>
    <w:p w14:paraId="5226FBD2" w14:textId="6E79955C" w:rsidR="00BE0401" w:rsidRDefault="00BE0401" w:rsidP="00BE0401">
      <w:pPr>
        <w:pStyle w:val="0Maintext"/>
        <w:spacing w:after="120" w:afterAutospacing="0" w:line="240" w:lineRule="auto"/>
        <w:ind w:firstLine="0"/>
        <w:rPr>
          <w:lang w:val="en-US" w:eastAsia="zh-CN"/>
        </w:rPr>
      </w:pPr>
      <w:r>
        <w:rPr>
          <w:lang w:val="en-US" w:eastAsia="zh-CN"/>
        </w:rPr>
        <w:t xml:space="preserve">As a result of maximum power emission (MPE), the maximum power reduction (MPR) for each panel could be different. As shown in Figure </w:t>
      </w:r>
      <w:r w:rsidR="002C1494">
        <w:rPr>
          <w:lang w:val="en-US" w:eastAsia="zh-CN"/>
        </w:rPr>
        <w:t>9</w:t>
      </w:r>
      <w:r>
        <w:rPr>
          <w:lang w:val="en-US" w:eastAsia="zh-CN"/>
        </w:rPr>
        <w:t xml:space="preserve">, sometimes due to physical panel separation, the beam in panel 2 may be still worse than panel 1, although additional </w:t>
      </w:r>
      <w:r w:rsidR="00107247">
        <w:rPr>
          <w:lang w:val="en-US" w:eastAsia="zh-CN"/>
        </w:rPr>
        <w:t>P-</w:t>
      </w:r>
      <w:r>
        <w:rPr>
          <w:lang w:val="en-US" w:eastAsia="zh-CN"/>
        </w:rPr>
        <w:t xml:space="preserve">MPR should be included for beams in panel 1. While sometimes, the beams in panel 2 may be better, where the RSRP difference between beams in panel 2 and panel 1 could be smaller than the MPR offset. So, in general, such </w:t>
      </w:r>
      <w:r w:rsidR="00107247">
        <w:rPr>
          <w:lang w:val="en-US" w:eastAsia="zh-CN"/>
        </w:rPr>
        <w:t>P-</w:t>
      </w:r>
      <w:r>
        <w:rPr>
          <w:lang w:val="en-US" w:eastAsia="zh-CN"/>
        </w:rPr>
        <w:t xml:space="preserve">MPR related information could help gNB to select the best beam. </w:t>
      </w:r>
    </w:p>
    <w:p w14:paraId="3C977DD5" w14:textId="77777777" w:rsidR="00BE0401" w:rsidRDefault="00BE0401" w:rsidP="00BE0401">
      <w:pPr>
        <w:pStyle w:val="0Maintext"/>
        <w:spacing w:after="120" w:afterAutospacing="0" w:line="240" w:lineRule="auto"/>
        <w:ind w:firstLine="0"/>
        <w:jc w:val="center"/>
        <w:rPr>
          <w:lang w:val="en-US" w:eastAsia="zh-CN"/>
        </w:rPr>
      </w:pPr>
      <w:r w:rsidRPr="00326AED">
        <w:rPr>
          <w:noProof/>
          <w:lang w:val="en-US" w:eastAsia="zh-CN"/>
        </w:rPr>
        <w:lastRenderedPageBreak/>
        <w:drawing>
          <wp:inline distT="0" distB="0" distL="0" distR="0" wp14:anchorId="4BA31998" wp14:editId="4B19C053">
            <wp:extent cx="3853368" cy="1699412"/>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0107" cy="1720025"/>
                    </a:xfrm>
                    <a:prstGeom prst="rect">
                      <a:avLst/>
                    </a:prstGeom>
                  </pic:spPr>
                </pic:pic>
              </a:graphicData>
            </a:graphic>
          </wp:inline>
        </w:drawing>
      </w:r>
    </w:p>
    <w:p w14:paraId="1AC3265A" w14:textId="3D31ADEC" w:rsidR="00BE0401" w:rsidRPr="00326AED" w:rsidRDefault="00BE0401" w:rsidP="00BE0401">
      <w:pPr>
        <w:pStyle w:val="0Maintext"/>
        <w:spacing w:after="120" w:afterAutospacing="0" w:line="240" w:lineRule="auto"/>
        <w:ind w:firstLine="0"/>
        <w:jc w:val="center"/>
        <w:rPr>
          <w:b/>
          <w:bCs/>
          <w:lang w:val="en-US" w:eastAsia="zh-CN"/>
        </w:rPr>
      </w:pPr>
      <w:r w:rsidRPr="00326AED">
        <w:rPr>
          <w:b/>
          <w:bCs/>
          <w:lang w:val="en-US" w:eastAsia="zh-CN"/>
        </w:rPr>
        <w:t xml:space="preserve">Figure </w:t>
      </w:r>
      <w:r w:rsidR="002C1494">
        <w:rPr>
          <w:b/>
          <w:bCs/>
          <w:lang w:val="en-US" w:eastAsia="zh-CN"/>
        </w:rPr>
        <w:t>9</w:t>
      </w:r>
      <w:r w:rsidRPr="00326AED">
        <w:rPr>
          <w:b/>
          <w:bCs/>
          <w:lang w:val="en-US" w:eastAsia="zh-CN"/>
        </w:rPr>
        <w:t>: Potential MPR difference for different UE panels due to MPE issue</w:t>
      </w:r>
    </w:p>
    <w:p w14:paraId="2B79AE81" w14:textId="4F01828E" w:rsidR="00BE0401" w:rsidRDefault="00107247" w:rsidP="009C3BBA">
      <w:pPr>
        <w:pStyle w:val="0Maintext"/>
        <w:spacing w:after="120" w:afterAutospacing="0" w:line="240" w:lineRule="auto"/>
        <w:ind w:firstLine="0"/>
        <w:rPr>
          <w:lang w:val="en-US" w:eastAsia="zh-CN"/>
        </w:rPr>
      </w:pPr>
      <w:r>
        <w:rPr>
          <w:lang w:val="en-US" w:eastAsia="zh-CN"/>
        </w:rPr>
        <w:t xml:space="preserve">In Rel-15/Rel-16, some solutions on MPE have been defined. One is to introduce a duty cycle. However, a clear uplink performance degradation can be observed with this method. Another is to report the P-MPR. but the problem is that gNB still does not know whether such P-MPR should be applied to candidate beams or not, and only P-MPR and L1-RSRP cannot help gNB to identify the best beam. </w:t>
      </w:r>
    </w:p>
    <w:p w14:paraId="01443AA4" w14:textId="69D34332" w:rsidR="008923A6" w:rsidRDefault="00107247" w:rsidP="009C3BBA">
      <w:pPr>
        <w:pStyle w:val="0Maintext"/>
        <w:spacing w:after="120" w:afterAutospacing="0" w:line="240" w:lineRule="auto"/>
        <w:ind w:firstLine="0"/>
        <w:rPr>
          <w:lang w:val="en-US" w:eastAsia="zh-CN"/>
        </w:rPr>
      </w:pPr>
      <w:r>
        <w:rPr>
          <w:lang w:val="en-US" w:eastAsia="zh-CN"/>
        </w:rPr>
        <w:t xml:space="preserve">No matter whether there is a MPE issue or not, the </w:t>
      </w:r>
      <w:r w:rsidR="008923A6">
        <w:rPr>
          <w:lang w:val="en-US" w:eastAsia="zh-CN"/>
        </w:rPr>
        <w:t>best</w:t>
      </w:r>
      <w:r>
        <w:rPr>
          <w:lang w:val="en-US" w:eastAsia="zh-CN"/>
        </w:rPr>
        <w:t xml:space="preserve"> </w:t>
      </w:r>
      <w:r w:rsidR="008923A6">
        <w:rPr>
          <w:lang w:val="en-US" w:eastAsia="zh-CN"/>
        </w:rPr>
        <w:t>metric for beam selection should still be</w:t>
      </w:r>
      <w:r>
        <w:rPr>
          <w:lang w:val="en-US" w:eastAsia="zh-CN"/>
        </w:rPr>
        <w:t xml:space="preserve"> receiving power. </w:t>
      </w:r>
      <w:r w:rsidR="008923A6">
        <w:rPr>
          <w:lang w:val="en-US" w:eastAsia="zh-CN"/>
        </w:rPr>
        <w:t xml:space="preserve">Table 1 illustrates the system level simulation results for different beam selection schemes. The baseline is beam selection without panel switching, where UE would continue to use the beam with power back-off. The second scheme is to select the beam based on panel specific P-MPR, where the beam is selected based on L1-RSRP minus P-MPR. The third scheme is based on beam specific PHR, which </w:t>
      </w:r>
      <w:r w:rsidR="00F9291A">
        <w:rPr>
          <w:lang w:val="en-US" w:eastAsia="zh-CN"/>
        </w:rPr>
        <w:t>takes PHR into account. The last scheme is based on UL Rx power, where it is assumed that the UE reports something that can help gNB to calculate the Rx power for a corresponding scheduled bandwidth. It can be observed that the UL Rx power based beam selection should still be the best scheme. The detailed simulation assumption is shown in Table A-2 in appendix.</w:t>
      </w:r>
    </w:p>
    <w:p w14:paraId="725DF435" w14:textId="7207C156" w:rsidR="008923A6" w:rsidRPr="008923A6" w:rsidRDefault="008923A6" w:rsidP="008923A6">
      <w:pPr>
        <w:pStyle w:val="0Maintext"/>
        <w:spacing w:after="120" w:afterAutospacing="0" w:line="240" w:lineRule="auto"/>
        <w:ind w:firstLine="0"/>
        <w:jc w:val="center"/>
        <w:rPr>
          <w:b/>
          <w:bCs/>
          <w:lang w:val="en-US" w:eastAsia="zh-CN"/>
        </w:rPr>
      </w:pPr>
      <w:r w:rsidRPr="008923A6">
        <w:rPr>
          <w:b/>
          <w:bCs/>
          <w:lang w:val="en-US" w:eastAsia="zh-CN"/>
        </w:rPr>
        <w:t>Table 1: System level simulation results for different UL beam selection schemes</w:t>
      </w:r>
    </w:p>
    <w:tbl>
      <w:tblPr>
        <w:tblW w:w="9072" w:type="dxa"/>
        <w:tblInd w:w="-5" w:type="dxa"/>
        <w:tblLook w:val="04A0" w:firstRow="1" w:lastRow="0" w:firstColumn="1" w:lastColumn="0" w:noHBand="0" w:noVBand="1"/>
      </w:tblPr>
      <w:tblGrid>
        <w:gridCol w:w="3828"/>
        <w:gridCol w:w="1417"/>
        <w:gridCol w:w="1276"/>
        <w:gridCol w:w="1417"/>
        <w:gridCol w:w="1134"/>
      </w:tblGrid>
      <w:tr w:rsidR="008923A6" w:rsidRPr="00F9291A" w14:paraId="14FC6208" w14:textId="77777777" w:rsidTr="008923A6">
        <w:trPr>
          <w:trHeight w:val="3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B5AD4" w14:textId="77777777" w:rsidR="008923A6" w:rsidRPr="00F9291A" w:rsidRDefault="008923A6">
            <w:pPr>
              <w:rPr>
                <w:color w:val="000000"/>
                <w:sz w:val="20"/>
                <w:szCs w:val="20"/>
              </w:rPr>
            </w:pPr>
            <w:r w:rsidRPr="00F9291A">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D84BB0" w14:textId="77777777" w:rsidR="008923A6" w:rsidRPr="00F9291A" w:rsidRDefault="008923A6">
            <w:pPr>
              <w:rPr>
                <w:color w:val="000000"/>
                <w:sz w:val="20"/>
                <w:szCs w:val="20"/>
              </w:rPr>
            </w:pPr>
            <w:r w:rsidRPr="00F9291A">
              <w:rPr>
                <w:color w:val="000000"/>
                <w:sz w:val="20"/>
                <w:szCs w:val="20"/>
              </w:rPr>
              <w:t>average cell SE (bps/Hz)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DC5C27" w14:textId="77777777" w:rsidR="008923A6" w:rsidRPr="00F9291A" w:rsidRDefault="008923A6">
            <w:pPr>
              <w:rPr>
                <w:color w:val="000000"/>
                <w:sz w:val="20"/>
                <w:szCs w:val="20"/>
              </w:rPr>
            </w:pPr>
            <w:r w:rsidRPr="00F9291A">
              <w:rPr>
                <w:color w:val="000000"/>
                <w:sz w:val="20"/>
                <w:szCs w:val="20"/>
              </w:rPr>
              <w:t>average cell SE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C82D5D" w14:textId="77777777" w:rsidR="008923A6" w:rsidRPr="00F9291A" w:rsidRDefault="008923A6">
            <w:pPr>
              <w:rPr>
                <w:color w:val="000000"/>
                <w:sz w:val="20"/>
                <w:szCs w:val="20"/>
              </w:rPr>
            </w:pPr>
            <w:r w:rsidRPr="00F9291A">
              <w:rPr>
                <w:color w:val="000000"/>
                <w:sz w:val="20"/>
                <w:szCs w:val="20"/>
              </w:rPr>
              <w:t>5% CDF SE (bps/Hz)</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8149E3" w14:textId="77777777" w:rsidR="008923A6" w:rsidRPr="00F9291A" w:rsidRDefault="008923A6">
            <w:pPr>
              <w:rPr>
                <w:color w:val="000000"/>
                <w:sz w:val="20"/>
                <w:szCs w:val="20"/>
              </w:rPr>
            </w:pPr>
            <w:r w:rsidRPr="00F9291A">
              <w:rPr>
                <w:color w:val="000000"/>
                <w:sz w:val="20"/>
                <w:szCs w:val="20"/>
              </w:rPr>
              <w:t>5% CDF SE (%)</w:t>
            </w:r>
          </w:p>
        </w:tc>
      </w:tr>
      <w:tr w:rsidR="008923A6" w:rsidRPr="00F9291A" w14:paraId="4A93C221"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1499B35"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6FD412F9" w14:textId="77777777" w:rsidR="008923A6" w:rsidRPr="00F9291A" w:rsidRDefault="008923A6">
            <w:pPr>
              <w:jc w:val="right"/>
              <w:rPr>
                <w:color w:val="000000"/>
                <w:sz w:val="20"/>
                <w:szCs w:val="20"/>
              </w:rPr>
            </w:pPr>
            <w:r w:rsidRPr="00F9291A">
              <w:rPr>
                <w:color w:val="000000"/>
                <w:sz w:val="20"/>
                <w:szCs w:val="20"/>
              </w:rPr>
              <w:t>3.6012</w:t>
            </w:r>
          </w:p>
        </w:tc>
        <w:tc>
          <w:tcPr>
            <w:tcW w:w="1276" w:type="dxa"/>
            <w:tcBorders>
              <w:top w:val="nil"/>
              <w:left w:val="nil"/>
              <w:bottom w:val="single" w:sz="4" w:space="0" w:color="auto"/>
              <w:right w:val="single" w:sz="4" w:space="0" w:color="auto"/>
            </w:tcBorders>
            <w:shd w:val="clear" w:color="auto" w:fill="auto"/>
            <w:noWrap/>
            <w:vAlign w:val="bottom"/>
            <w:hideMark/>
          </w:tcPr>
          <w:p w14:paraId="35E8C8AD"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3E67762E" w14:textId="77777777" w:rsidR="008923A6" w:rsidRPr="00F9291A" w:rsidRDefault="008923A6">
            <w:pPr>
              <w:jc w:val="right"/>
              <w:rPr>
                <w:color w:val="000000"/>
                <w:sz w:val="20"/>
                <w:szCs w:val="20"/>
              </w:rPr>
            </w:pPr>
            <w:r w:rsidRPr="00F9291A">
              <w:rPr>
                <w:color w:val="000000"/>
                <w:sz w:val="20"/>
                <w:szCs w:val="20"/>
              </w:rPr>
              <w:t>0.0855</w:t>
            </w:r>
          </w:p>
        </w:tc>
        <w:tc>
          <w:tcPr>
            <w:tcW w:w="1134" w:type="dxa"/>
            <w:tcBorders>
              <w:top w:val="nil"/>
              <w:left w:val="nil"/>
              <w:bottom w:val="single" w:sz="4" w:space="0" w:color="auto"/>
              <w:right w:val="single" w:sz="4" w:space="0" w:color="auto"/>
            </w:tcBorders>
            <w:shd w:val="clear" w:color="auto" w:fill="auto"/>
            <w:noWrap/>
            <w:vAlign w:val="bottom"/>
            <w:hideMark/>
          </w:tcPr>
          <w:p w14:paraId="222D9AA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1E8278A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18B3951" w14:textId="4EB36181" w:rsidR="008923A6" w:rsidRPr="00F9291A" w:rsidRDefault="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75229D48" w14:textId="77777777" w:rsidR="008923A6" w:rsidRPr="00F9291A" w:rsidRDefault="008923A6">
            <w:pPr>
              <w:jc w:val="right"/>
              <w:rPr>
                <w:color w:val="000000"/>
                <w:sz w:val="20"/>
                <w:szCs w:val="20"/>
              </w:rPr>
            </w:pPr>
            <w:r w:rsidRPr="00F9291A">
              <w:rPr>
                <w:color w:val="000000"/>
                <w:sz w:val="20"/>
                <w:szCs w:val="20"/>
              </w:rPr>
              <w:t>4.1719</w:t>
            </w:r>
          </w:p>
        </w:tc>
        <w:tc>
          <w:tcPr>
            <w:tcW w:w="1276" w:type="dxa"/>
            <w:tcBorders>
              <w:top w:val="nil"/>
              <w:left w:val="nil"/>
              <w:bottom w:val="single" w:sz="4" w:space="0" w:color="auto"/>
              <w:right w:val="single" w:sz="4" w:space="0" w:color="auto"/>
            </w:tcBorders>
            <w:shd w:val="clear" w:color="auto" w:fill="auto"/>
            <w:noWrap/>
            <w:vAlign w:val="bottom"/>
            <w:hideMark/>
          </w:tcPr>
          <w:p w14:paraId="4BF8D096" w14:textId="77777777" w:rsidR="008923A6" w:rsidRPr="00F9291A" w:rsidRDefault="008923A6">
            <w:pPr>
              <w:jc w:val="right"/>
              <w:rPr>
                <w:color w:val="000000"/>
                <w:sz w:val="20"/>
                <w:szCs w:val="20"/>
              </w:rPr>
            </w:pPr>
            <w:r w:rsidRPr="00F9291A">
              <w:rPr>
                <w:color w:val="000000"/>
                <w:sz w:val="20"/>
                <w:szCs w:val="20"/>
              </w:rPr>
              <w:t>115.85%</w:t>
            </w:r>
          </w:p>
        </w:tc>
        <w:tc>
          <w:tcPr>
            <w:tcW w:w="1417" w:type="dxa"/>
            <w:tcBorders>
              <w:top w:val="nil"/>
              <w:left w:val="nil"/>
              <w:bottom w:val="single" w:sz="4" w:space="0" w:color="auto"/>
              <w:right w:val="single" w:sz="4" w:space="0" w:color="auto"/>
            </w:tcBorders>
            <w:shd w:val="clear" w:color="auto" w:fill="auto"/>
            <w:noWrap/>
            <w:vAlign w:val="bottom"/>
            <w:hideMark/>
          </w:tcPr>
          <w:p w14:paraId="2366E708" w14:textId="77777777" w:rsidR="008923A6" w:rsidRPr="00F9291A" w:rsidRDefault="008923A6">
            <w:pPr>
              <w:jc w:val="right"/>
              <w:rPr>
                <w:color w:val="000000"/>
                <w:sz w:val="20"/>
                <w:szCs w:val="20"/>
              </w:rPr>
            </w:pPr>
            <w:r w:rsidRPr="00F9291A">
              <w:rPr>
                <w:color w:val="000000"/>
                <w:sz w:val="20"/>
                <w:szCs w:val="20"/>
              </w:rPr>
              <w:t>0.1243</w:t>
            </w:r>
          </w:p>
        </w:tc>
        <w:tc>
          <w:tcPr>
            <w:tcW w:w="1134" w:type="dxa"/>
            <w:tcBorders>
              <w:top w:val="nil"/>
              <w:left w:val="nil"/>
              <w:bottom w:val="single" w:sz="4" w:space="0" w:color="auto"/>
              <w:right w:val="single" w:sz="4" w:space="0" w:color="auto"/>
            </w:tcBorders>
            <w:shd w:val="clear" w:color="auto" w:fill="auto"/>
            <w:noWrap/>
            <w:vAlign w:val="bottom"/>
            <w:hideMark/>
          </w:tcPr>
          <w:p w14:paraId="3DB9DDE5" w14:textId="77777777" w:rsidR="008923A6" w:rsidRPr="00F9291A" w:rsidRDefault="008923A6">
            <w:pPr>
              <w:jc w:val="right"/>
              <w:rPr>
                <w:color w:val="000000"/>
                <w:sz w:val="20"/>
                <w:szCs w:val="20"/>
              </w:rPr>
            </w:pPr>
            <w:r w:rsidRPr="00F9291A">
              <w:rPr>
                <w:color w:val="000000"/>
                <w:sz w:val="20"/>
                <w:szCs w:val="20"/>
              </w:rPr>
              <w:t>145.36%</w:t>
            </w:r>
          </w:p>
        </w:tc>
      </w:tr>
      <w:tr w:rsidR="008923A6" w:rsidRPr="00F9291A" w14:paraId="1C05669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0E5C6090" w14:textId="52B07EA9" w:rsidR="008923A6" w:rsidRPr="00F9291A" w:rsidRDefault="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08F13461" w14:textId="77777777" w:rsidR="008923A6" w:rsidRPr="00F9291A" w:rsidRDefault="008923A6">
            <w:pPr>
              <w:jc w:val="right"/>
              <w:rPr>
                <w:color w:val="000000"/>
                <w:sz w:val="20"/>
                <w:szCs w:val="20"/>
              </w:rPr>
            </w:pPr>
            <w:r w:rsidRPr="00F9291A">
              <w:rPr>
                <w:color w:val="000000"/>
                <w:sz w:val="20"/>
                <w:szCs w:val="20"/>
              </w:rPr>
              <w:t>4.1584</w:t>
            </w:r>
          </w:p>
        </w:tc>
        <w:tc>
          <w:tcPr>
            <w:tcW w:w="1276" w:type="dxa"/>
            <w:tcBorders>
              <w:top w:val="nil"/>
              <w:left w:val="nil"/>
              <w:bottom w:val="single" w:sz="4" w:space="0" w:color="auto"/>
              <w:right w:val="single" w:sz="4" w:space="0" w:color="auto"/>
            </w:tcBorders>
            <w:shd w:val="clear" w:color="auto" w:fill="auto"/>
            <w:noWrap/>
            <w:vAlign w:val="bottom"/>
            <w:hideMark/>
          </w:tcPr>
          <w:p w14:paraId="28732C54" w14:textId="77777777" w:rsidR="008923A6" w:rsidRPr="00F9291A" w:rsidRDefault="008923A6">
            <w:pPr>
              <w:jc w:val="right"/>
              <w:rPr>
                <w:color w:val="000000"/>
                <w:sz w:val="20"/>
                <w:szCs w:val="20"/>
              </w:rPr>
            </w:pPr>
            <w:r w:rsidRPr="00F9291A">
              <w:rPr>
                <w:color w:val="000000"/>
                <w:sz w:val="20"/>
                <w:szCs w:val="20"/>
              </w:rPr>
              <w:t>115.47%</w:t>
            </w:r>
          </w:p>
        </w:tc>
        <w:tc>
          <w:tcPr>
            <w:tcW w:w="1417" w:type="dxa"/>
            <w:tcBorders>
              <w:top w:val="nil"/>
              <w:left w:val="nil"/>
              <w:bottom w:val="single" w:sz="4" w:space="0" w:color="auto"/>
              <w:right w:val="single" w:sz="4" w:space="0" w:color="auto"/>
            </w:tcBorders>
            <w:shd w:val="clear" w:color="auto" w:fill="auto"/>
            <w:noWrap/>
            <w:vAlign w:val="bottom"/>
            <w:hideMark/>
          </w:tcPr>
          <w:p w14:paraId="65786A1B" w14:textId="77777777" w:rsidR="008923A6" w:rsidRPr="00F9291A" w:rsidRDefault="008923A6">
            <w:pPr>
              <w:jc w:val="right"/>
              <w:rPr>
                <w:color w:val="000000"/>
                <w:sz w:val="20"/>
                <w:szCs w:val="20"/>
              </w:rPr>
            </w:pPr>
            <w:r w:rsidRPr="00F9291A">
              <w:rPr>
                <w:color w:val="000000"/>
                <w:sz w:val="20"/>
                <w:szCs w:val="20"/>
              </w:rPr>
              <w:t>0.1341</w:t>
            </w:r>
          </w:p>
        </w:tc>
        <w:tc>
          <w:tcPr>
            <w:tcW w:w="1134" w:type="dxa"/>
            <w:tcBorders>
              <w:top w:val="nil"/>
              <w:left w:val="nil"/>
              <w:bottom w:val="single" w:sz="4" w:space="0" w:color="auto"/>
              <w:right w:val="single" w:sz="4" w:space="0" w:color="auto"/>
            </w:tcBorders>
            <w:shd w:val="clear" w:color="auto" w:fill="auto"/>
            <w:noWrap/>
            <w:vAlign w:val="bottom"/>
            <w:hideMark/>
          </w:tcPr>
          <w:p w14:paraId="578B749C" w14:textId="77777777" w:rsidR="008923A6" w:rsidRPr="00F9291A" w:rsidRDefault="008923A6">
            <w:pPr>
              <w:jc w:val="right"/>
              <w:rPr>
                <w:color w:val="000000"/>
                <w:sz w:val="20"/>
                <w:szCs w:val="20"/>
              </w:rPr>
            </w:pPr>
            <w:r w:rsidRPr="00F9291A">
              <w:rPr>
                <w:color w:val="000000"/>
                <w:sz w:val="20"/>
                <w:szCs w:val="20"/>
              </w:rPr>
              <w:t>156.86%</w:t>
            </w:r>
          </w:p>
        </w:tc>
      </w:tr>
      <w:tr w:rsidR="008923A6" w:rsidRPr="00F9291A" w14:paraId="2FF3DAB9"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163E0B4C" w14:textId="57F7E958" w:rsidR="008923A6" w:rsidRPr="00F9291A" w:rsidRDefault="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654424EB" w14:textId="77777777" w:rsidR="008923A6" w:rsidRPr="00F9291A" w:rsidRDefault="008923A6">
            <w:pPr>
              <w:jc w:val="right"/>
              <w:rPr>
                <w:color w:val="000000"/>
                <w:sz w:val="20"/>
                <w:szCs w:val="20"/>
              </w:rPr>
            </w:pPr>
            <w:r w:rsidRPr="00F9291A">
              <w:rPr>
                <w:color w:val="000000"/>
                <w:sz w:val="20"/>
                <w:szCs w:val="20"/>
              </w:rPr>
              <w:t>4.2253</w:t>
            </w:r>
          </w:p>
        </w:tc>
        <w:tc>
          <w:tcPr>
            <w:tcW w:w="1276" w:type="dxa"/>
            <w:tcBorders>
              <w:top w:val="nil"/>
              <w:left w:val="nil"/>
              <w:bottom w:val="single" w:sz="4" w:space="0" w:color="auto"/>
              <w:right w:val="single" w:sz="4" w:space="0" w:color="auto"/>
            </w:tcBorders>
            <w:shd w:val="clear" w:color="auto" w:fill="auto"/>
            <w:noWrap/>
            <w:vAlign w:val="bottom"/>
            <w:hideMark/>
          </w:tcPr>
          <w:p w14:paraId="02494210" w14:textId="77777777" w:rsidR="008923A6" w:rsidRPr="00F9291A" w:rsidRDefault="008923A6">
            <w:pPr>
              <w:jc w:val="right"/>
              <w:rPr>
                <w:color w:val="000000"/>
                <w:sz w:val="20"/>
                <w:szCs w:val="20"/>
              </w:rPr>
            </w:pPr>
            <w:r w:rsidRPr="00F9291A">
              <w:rPr>
                <w:color w:val="000000"/>
                <w:sz w:val="20"/>
                <w:szCs w:val="20"/>
              </w:rPr>
              <w:t>117.33%</w:t>
            </w:r>
          </w:p>
        </w:tc>
        <w:tc>
          <w:tcPr>
            <w:tcW w:w="1417" w:type="dxa"/>
            <w:tcBorders>
              <w:top w:val="nil"/>
              <w:left w:val="nil"/>
              <w:bottom w:val="single" w:sz="4" w:space="0" w:color="auto"/>
              <w:right w:val="single" w:sz="4" w:space="0" w:color="auto"/>
            </w:tcBorders>
            <w:shd w:val="clear" w:color="auto" w:fill="auto"/>
            <w:noWrap/>
            <w:vAlign w:val="bottom"/>
            <w:hideMark/>
          </w:tcPr>
          <w:p w14:paraId="4F78087F" w14:textId="77777777" w:rsidR="008923A6" w:rsidRPr="00F9291A" w:rsidRDefault="008923A6">
            <w:pPr>
              <w:jc w:val="right"/>
              <w:rPr>
                <w:color w:val="000000"/>
                <w:sz w:val="20"/>
                <w:szCs w:val="20"/>
              </w:rPr>
            </w:pPr>
            <w:r w:rsidRPr="00F9291A">
              <w:rPr>
                <w:color w:val="000000"/>
                <w:sz w:val="20"/>
                <w:szCs w:val="20"/>
              </w:rPr>
              <w:t>0.139</w:t>
            </w:r>
          </w:p>
        </w:tc>
        <w:tc>
          <w:tcPr>
            <w:tcW w:w="1134" w:type="dxa"/>
            <w:tcBorders>
              <w:top w:val="nil"/>
              <w:left w:val="nil"/>
              <w:bottom w:val="single" w:sz="4" w:space="0" w:color="auto"/>
              <w:right w:val="single" w:sz="4" w:space="0" w:color="auto"/>
            </w:tcBorders>
            <w:shd w:val="clear" w:color="auto" w:fill="auto"/>
            <w:noWrap/>
            <w:vAlign w:val="bottom"/>
            <w:hideMark/>
          </w:tcPr>
          <w:p w14:paraId="4AEAE22E" w14:textId="77777777" w:rsidR="008923A6" w:rsidRPr="00F9291A" w:rsidRDefault="008923A6">
            <w:pPr>
              <w:jc w:val="right"/>
              <w:rPr>
                <w:color w:val="000000"/>
                <w:sz w:val="20"/>
                <w:szCs w:val="20"/>
              </w:rPr>
            </w:pPr>
            <w:r w:rsidRPr="00F9291A">
              <w:rPr>
                <w:color w:val="000000"/>
                <w:sz w:val="20"/>
                <w:szCs w:val="20"/>
              </w:rPr>
              <w:t>162.57%</w:t>
            </w:r>
          </w:p>
        </w:tc>
      </w:tr>
      <w:tr w:rsidR="008923A6" w:rsidRPr="00F9291A" w14:paraId="4930827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91AC725" w14:textId="77777777" w:rsidR="008923A6" w:rsidRPr="00F9291A" w:rsidRDefault="008923A6">
            <w:pPr>
              <w:rPr>
                <w:color w:val="000000"/>
                <w:sz w:val="20"/>
                <w:szCs w:val="20"/>
              </w:rPr>
            </w:pPr>
            <w:r w:rsidRPr="00F9291A">
              <w:rPr>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6AB69" w14:textId="77777777" w:rsidR="008923A6" w:rsidRPr="00F9291A" w:rsidRDefault="008923A6">
            <w:pPr>
              <w:rPr>
                <w:color w:val="000000"/>
                <w:sz w:val="20"/>
                <w:szCs w:val="20"/>
              </w:rPr>
            </w:pPr>
            <w:r w:rsidRPr="00F9291A">
              <w:rPr>
                <w:color w:val="000000"/>
                <w:sz w:val="20"/>
                <w:szCs w:val="20"/>
              </w:rPr>
              <w:t>50% CDF SE (bps/Hz)</w:t>
            </w:r>
          </w:p>
        </w:tc>
        <w:tc>
          <w:tcPr>
            <w:tcW w:w="1276" w:type="dxa"/>
            <w:tcBorders>
              <w:top w:val="nil"/>
              <w:left w:val="nil"/>
              <w:bottom w:val="single" w:sz="4" w:space="0" w:color="auto"/>
              <w:right w:val="single" w:sz="4" w:space="0" w:color="auto"/>
            </w:tcBorders>
            <w:shd w:val="clear" w:color="auto" w:fill="auto"/>
            <w:noWrap/>
            <w:vAlign w:val="bottom"/>
            <w:hideMark/>
          </w:tcPr>
          <w:p w14:paraId="3EFAB43C" w14:textId="77777777" w:rsidR="008923A6" w:rsidRPr="00F9291A" w:rsidRDefault="008923A6">
            <w:pPr>
              <w:rPr>
                <w:color w:val="000000"/>
                <w:sz w:val="20"/>
                <w:szCs w:val="20"/>
              </w:rPr>
            </w:pPr>
            <w:r w:rsidRPr="00F9291A">
              <w:rPr>
                <w:color w:val="000000"/>
                <w:sz w:val="20"/>
                <w:szCs w:val="20"/>
              </w:rPr>
              <w:t>50% CDF SE (%)</w:t>
            </w:r>
          </w:p>
        </w:tc>
        <w:tc>
          <w:tcPr>
            <w:tcW w:w="1417" w:type="dxa"/>
            <w:tcBorders>
              <w:top w:val="nil"/>
              <w:left w:val="nil"/>
              <w:bottom w:val="single" w:sz="4" w:space="0" w:color="auto"/>
              <w:right w:val="single" w:sz="4" w:space="0" w:color="auto"/>
            </w:tcBorders>
            <w:shd w:val="clear" w:color="auto" w:fill="auto"/>
            <w:noWrap/>
            <w:vAlign w:val="bottom"/>
            <w:hideMark/>
          </w:tcPr>
          <w:p w14:paraId="32E13A83" w14:textId="77777777" w:rsidR="008923A6" w:rsidRPr="00F9291A" w:rsidRDefault="008923A6">
            <w:pPr>
              <w:rPr>
                <w:color w:val="000000"/>
                <w:sz w:val="20"/>
                <w:szCs w:val="20"/>
              </w:rPr>
            </w:pPr>
            <w:r w:rsidRPr="00F9291A">
              <w:rPr>
                <w:color w:val="000000"/>
                <w:sz w:val="20"/>
                <w:szCs w:val="20"/>
              </w:rPr>
              <w:t>95% CDF SE (bps/Hz)</w:t>
            </w:r>
          </w:p>
        </w:tc>
        <w:tc>
          <w:tcPr>
            <w:tcW w:w="1134" w:type="dxa"/>
            <w:tcBorders>
              <w:top w:val="nil"/>
              <w:left w:val="nil"/>
              <w:bottom w:val="single" w:sz="4" w:space="0" w:color="auto"/>
              <w:right w:val="single" w:sz="4" w:space="0" w:color="auto"/>
            </w:tcBorders>
            <w:shd w:val="clear" w:color="auto" w:fill="auto"/>
            <w:noWrap/>
            <w:vAlign w:val="bottom"/>
            <w:hideMark/>
          </w:tcPr>
          <w:p w14:paraId="058E8FD5" w14:textId="77777777" w:rsidR="008923A6" w:rsidRPr="00F9291A" w:rsidRDefault="008923A6">
            <w:pPr>
              <w:rPr>
                <w:color w:val="000000"/>
                <w:sz w:val="20"/>
                <w:szCs w:val="20"/>
              </w:rPr>
            </w:pPr>
            <w:r w:rsidRPr="00F9291A">
              <w:rPr>
                <w:color w:val="000000"/>
                <w:sz w:val="20"/>
                <w:szCs w:val="20"/>
              </w:rPr>
              <w:t>95% CDF SE (%)</w:t>
            </w:r>
          </w:p>
        </w:tc>
      </w:tr>
      <w:tr w:rsidR="008923A6" w:rsidRPr="00F9291A" w14:paraId="7182C0D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50B0ABE"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73A7F53C" w14:textId="77777777" w:rsidR="008923A6" w:rsidRPr="00F9291A" w:rsidRDefault="008923A6">
            <w:pPr>
              <w:jc w:val="right"/>
              <w:rPr>
                <w:color w:val="000000"/>
                <w:sz w:val="20"/>
                <w:szCs w:val="20"/>
              </w:rPr>
            </w:pPr>
            <w:r w:rsidRPr="00F9291A">
              <w:rPr>
                <w:color w:val="000000"/>
                <w:sz w:val="20"/>
                <w:szCs w:val="20"/>
              </w:rPr>
              <w:t>0.3202</w:t>
            </w:r>
          </w:p>
        </w:tc>
        <w:tc>
          <w:tcPr>
            <w:tcW w:w="1276" w:type="dxa"/>
            <w:tcBorders>
              <w:top w:val="nil"/>
              <w:left w:val="nil"/>
              <w:bottom w:val="single" w:sz="4" w:space="0" w:color="auto"/>
              <w:right w:val="single" w:sz="4" w:space="0" w:color="auto"/>
            </w:tcBorders>
            <w:shd w:val="clear" w:color="auto" w:fill="auto"/>
            <w:noWrap/>
            <w:vAlign w:val="bottom"/>
            <w:hideMark/>
          </w:tcPr>
          <w:p w14:paraId="0D77F350"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4DBE08EC" w14:textId="77777777" w:rsidR="008923A6" w:rsidRPr="00F9291A" w:rsidRDefault="008923A6">
            <w:pPr>
              <w:jc w:val="right"/>
              <w:rPr>
                <w:color w:val="000000"/>
                <w:sz w:val="20"/>
                <w:szCs w:val="20"/>
              </w:rPr>
            </w:pPr>
            <w:r w:rsidRPr="00F9291A">
              <w:rPr>
                <w:color w:val="000000"/>
                <w:sz w:val="20"/>
                <w:szCs w:val="20"/>
              </w:rPr>
              <w:t>0.6542</w:t>
            </w:r>
          </w:p>
        </w:tc>
        <w:tc>
          <w:tcPr>
            <w:tcW w:w="1134" w:type="dxa"/>
            <w:tcBorders>
              <w:top w:val="nil"/>
              <w:left w:val="nil"/>
              <w:bottom w:val="single" w:sz="4" w:space="0" w:color="auto"/>
              <w:right w:val="single" w:sz="4" w:space="0" w:color="auto"/>
            </w:tcBorders>
            <w:shd w:val="clear" w:color="auto" w:fill="auto"/>
            <w:noWrap/>
            <w:vAlign w:val="bottom"/>
            <w:hideMark/>
          </w:tcPr>
          <w:p w14:paraId="0E691CC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748A234F"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02D9056" w14:textId="39931366" w:rsidR="008923A6" w:rsidRPr="00F9291A" w:rsidRDefault="008923A6" w:rsidP="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2F0719F8" w14:textId="77777777" w:rsidR="008923A6" w:rsidRPr="00F9291A" w:rsidRDefault="008923A6" w:rsidP="008923A6">
            <w:pPr>
              <w:jc w:val="right"/>
              <w:rPr>
                <w:color w:val="000000"/>
                <w:sz w:val="20"/>
                <w:szCs w:val="20"/>
              </w:rPr>
            </w:pPr>
            <w:r w:rsidRPr="00F9291A">
              <w:rPr>
                <w:color w:val="000000"/>
                <w:sz w:val="20"/>
                <w:szCs w:val="20"/>
              </w:rPr>
              <w:t>0.3645</w:t>
            </w:r>
          </w:p>
        </w:tc>
        <w:tc>
          <w:tcPr>
            <w:tcW w:w="1276" w:type="dxa"/>
            <w:tcBorders>
              <w:top w:val="nil"/>
              <w:left w:val="nil"/>
              <w:bottom w:val="single" w:sz="4" w:space="0" w:color="auto"/>
              <w:right w:val="single" w:sz="4" w:space="0" w:color="auto"/>
            </w:tcBorders>
            <w:shd w:val="clear" w:color="auto" w:fill="auto"/>
            <w:noWrap/>
            <w:vAlign w:val="bottom"/>
            <w:hideMark/>
          </w:tcPr>
          <w:p w14:paraId="3E7C1A0F" w14:textId="77777777" w:rsidR="008923A6" w:rsidRPr="00F9291A" w:rsidRDefault="008923A6" w:rsidP="008923A6">
            <w:pPr>
              <w:jc w:val="right"/>
              <w:rPr>
                <w:color w:val="000000"/>
                <w:sz w:val="20"/>
                <w:szCs w:val="20"/>
              </w:rPr>
            </w:pPr>
            <w:r w:rsidRPr="00F9291A">
              <w:rPr>
                <w:color w:val="000000"/>
                <w:sz w:val="20"/>
                <w:szCs w:val="20"/>
              </w:rPr>
              <w:t>113.82%</w:t>
            </w:r>
          </w:p>
        </w:tc>
        <w:tc>
          <w:tcPr>
            <w:tcW w:w="1417" w:type="dxa"/>
            <w:tcBorders>
              <w:top w:val="nil"/>
              <w:left w:val="nil"/>
              <w:bottom w:val="single" w:sz="4" w:space="0" w:color="auto"/>
              <w:right w:val="single" w:sz="4" w:space="0" w:color="auto"/>
            </w:tcBorders>
            <w:shd w:val="clear" w:color="auto" w:fill="auto"/>
            <w:noWrap/>
            <w:vAlign w:val="bottom"/>
            <w:hideMark/>
          </w:tcPr>
          <w:p w14:paraId="3A00788F" w14:textId="77777777" w:rsidR="008923A6" w:rsidRPr="00F9291A" w:rsidRDefault="008923A6" w:rsidP="008923A6">
            <w:pPr>
              <w:jc w:val="right"/>
              <w:rPr>
                <w:color w:val="000000"/>
                <w:sz w:val="20"/>
                <w:szCs w:val="20"/>
              </w:rPr>
            </w:pPr>
            <w:r w:rsidRPr="00F9291A">
              <w:rPr>
                <w:color w:val="000000"/>
                <w:sz w:val="20"/>
                <w:szCs w:val="20"/>
              </w:rPr>
              <w:t>0.734</w:t>
            </w:r>
          </w:p>
        </w:tc>
        <w:tc>
          <w:tcPr>
            <w:tcW w:w="1134" w:type="dxa"/>
            <w:tcBorders>
              <w:top w:val="nil"/>
              <w:left w:val="nil"/>
              <w:bottom w:val="single" w:sz="4" w:space="0" w:color="auto"/>
              <w:right w:val="single" w:sz="4" w:space="0" w:color="auto"/>
            </w:tcBorders>
            <w:shd w:val="clear" w:color="auto" w:fill="auto"/>
            <w:noWrap/>
            <w:vAlign w:val="bottom"/>
            <w:hideMark/>
          </w:tcPr>
          <w:p w14:paraId="3F1DC7E3" w14:textId="77777777" w:rsidR="008923A6" w:rsidRPr="00F9291A" w:rsidRDefault="008923A6" w:rsidP="008923A6">
            <w:pPr>
              <w:jc w:val="right"/>
              <w:rPr>
                <w:color w:val="000000"/>
                <w:sz w:val="20"/>
                <w:szCs w:val="20"/>
              </w:rPr>
            </w:pPr>
            <w:r w:rsidRPr="00F9291A">
              <w:rPr>
                <w:color w:val="000000"/>
                <w:sz w:val="20"/>
                <w:szCs w:val="20"/>
              </w:rPr>
              <w:t>112.20%</w:t>
            </w:r>
          </w:p>
        </w:tc>
      </w:tr>
      <w:tr w:rsidR="008923A6" w:rsidRPr="00F9291A" w14:paraId="06786373"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7279715A" w14:textId="0121CAF4" w:rsidR="008923A6" w:rsidRPr="00F9291A" w:rsidRDefault="008923A6" w:rsidP="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37FE7A03" w14:textId="77777777" w:rsidR="008923A6" w:rsidRPr="00F9291A" w:rsidRDefault="008923A6" w:rsidP="008923A6">
            <w:pPr>
              <w:jc w:val="right"/>
              <w:rPr>
                <w:color w:val="000000"/>
                <w:sz w:val="20"/>
                <w:szCs w:val="20"/>
              </w:rPr>
            </w:pPr>
            <w:r w:rsidRPr="00F9291A">
              <w:rPr>
                <w:color w:val="000000"/>
                <w:sz w:val="20"/>
                <w:szCs w:val="20"/>
              </w:rPr>
              <w:t>0.3995</w:t>
            </w:r>
          </w:p>
        </w:tc>
        <w:tc>
          <w:tcPr>
            <w:tcW w:w="1276" w:type="dxa"/>
            <w:tcBorders>
              <w:top w:val="nil"/>
              <w:left w:val="nil"/>
              <w:bottom w:val="single" w:sz="4" w:space="0" w:color="auto"/>
              <w:right w:val="single" w:sz="4" w:space="0" w:color="auto"/>
            </w:tcBorders>
            <w:shd w:val="clear" w:color="auto" w:fill="auto"/>
            <w:noWrap/>
            <w:vAlign w:val="bottom"/>
            <w:hideMark/>
          </w:tcPr>
          <w:p w14:paraId="389BA9B8" w14:textId="77777777" w:rsidR="008923A6" w:rsidRPr="00F9291A" w:rsidRDefault="008923A6" w:rsidP="008923A6">
            <w:pPr>
              <w:jc w:val="right"/>
              <w:rPr>
                <w:color w:val="000000"/>
                <w:sz w:val="20"/>
                <w:szCs w:val="20"/>
              </w:rPr>
            </w:pPr>
            <w:r w:rsidRPr="00F9291A">
              <w:rPr>
                <w:color w:val="000000"/>
                <w:sz w:val="20"/>
                <w:szCs w:val="20"/>
              </w:rPr>
              <w:t>124.76%</w:t>
            </w:r>
          </w:p>
        </w:tc>
        <w:tc>
          <w:tcPr>
            <w:tcW w:w="1417" w:type="dxa"/>
            <w:tcBorders>
              <w:top w:val="nil"/>
              <w:left w:val="nil"/>
              <w:bottom w:val="single" w:sz="4" w:space="0" w:color="auto"/>
              <w:right w:val="single" w:sz="4" w:space="0" w:color="auto"/>
            </w:tcBorders>
            <w:shd w:val="clear" w:color="auto" w:fill="auto"/>
            <w:noWrap/>
            <w:vAlign w:val="bottom"/>
            <w:hideMark/>
          </w:tcPr>
          <w:p w14:paraId="46CACF82" w14:textId="77777777" w:rsidR="008923A6" w:rsidRPr="00F9291A" w:rsidRDefault="008923A6" w:rsidP="008923A6">
            <w:pPr>
              <w:jc w:val="right"/>
              <w:rPr>
                <w:color w:val="000000"/>
                <w:sz w:val="20"/>
                <w:szCs w:val="20"/>
              </w:rPr>
            </w:pPr>
            <w:r w:rsidRPr="00F9291A">
              <w:rPr>
                <w:color w:val="000000"/>
                <w:sz w:val="20"/>
                <w:szCs w:val="20"/>
              </w:rPr>
              <w:t>0.7175</w:t>
            </w:r>
          </w:p>
        </w:tc>
        <w:tc>
          <w:tcPr>
            <w:tcW w:w="1134" w:type="dxa"/>
            <w:tcBorders>
              <w:top w:val="nil"/>
              <w:left w:val="nil"/>
              <w:bottom w:val="single" w:sz="4" w:space="0" w:color="auto"/>
              <w:right w:val="single" w:sz="4" w:space="0" w:color="auto"/>
            </w:tcBorders>
            <w:shd w:val="clear" w:color="auto" w:fill="auto"/>
            <w:noWrap/>
            <w:vAlign w:val="bottom"/>
            <w:hideMark/>
          </w:tcPr>
          <w:p w14:paraId="6D879BFE" w14:textId="77777777" w:rsidR="008923A6" w:rsidRPr="00F9291A" w:rsidRDefault="008923A6" w:rsidP="008923A6">
            <w:pPr>
              <w:jc w:val="right"/>
              <w:rPr>
                <w:color w:val="000000"/>
                <w:sz w:val="20"/>
                <w:szCs w:val="20"/>
              </w:rPr>
            </w:pPr>
            <w:r w:rsidRPr="00F9291A">
              <w:rPr>
                <w:color w:val="000000"/>
                <w:sz w:val="20"/>
                <w:szCs w:val="20"/>
              </w:rPr>
              <w:t>109.68%</w:t>
            </w:r>
          </w:p>
        </w:tc>
      </w:tr>
      <w:tr w:rsidR="008923A6" w:rsidRPr="00F9291A" w14:paraId="68D54358"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538BF623" w14:textId="5848581B" w:rsidR="008923A6" w:rsidRPr="00F9291A" w:rsidRDefault="008923A6" w:rsidP="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3B6E81DE" w14:textId="77777777" w:rsidR="008923A6" w:rsidRPr="00F9291A" w:rsidRDefault="008923A6" w:rsidP="008923A6">
            <w:pPr>
              <w:jc w:val="right"/>
              <w:rPr>
                <w:color w:val="000000"/>
                <w:sz w:val="20"/>
                <w:szCs w:val="20"/>
              </w:rPr>
            </w:pPr>
            <w:r w:rsidRPr="00F9291A">
              <w:rPr>
                <w:color w:val="000000"/>
                <w:sz w:val="20"/>
                <w:szCs w:val="20"/>
              </w:rPr>
              <w:t>0.407</w:t>
            </w:r>
          </w:p>
        </w:tc>
        <w:tc>
          <w:tcPr>
            <w:tcW w:w="1276" w:type="dxa"/>
            <w:tcBorders>
              <w:top w:val="nil"/>
              <w:left w:val="nil"/>
              <w:bottom w:val="single" w:sz="4" w:space="0" w:color="auto"/>
              <w:right w:val="single" w:sz="4" w:space="0" w:color="auto"/>
            </w:tcBorders>
            <w:shd w:val="clear" w:color="auto" w:fill="auto"/>
            <w:noWrap/>
            <w:vAlign w:val="bottom"/>
            <w:hideMark/>
          </w:tcPr>
          <w:p w14:paraId="197903BB" w14:textId="77777777" w:rsidR="008923A6" w:rsidRPr="00F9291A" w:rsidRDefault="008923A6" w:rsidP="008923A6">
            <w:pPr>
              <w:jc w:val="right"/>
              <w:rPr>
                <w:color w:val="000000"/>
                <w:sz w:val="20"/>
                <w:szCs w:val="20"/>
              </w:rPr>
            </w:pPr>
            <w:r w:rsidRPr="00F9291A">
              <w:rPr>
                <w:color w:val="000000"/>
                <w:sz w:val="20"/>
                <w:szCs w:val="20"/>
              </w:rPr>
              <w:t>127.09%</w:t>
            </w:r>
          </w:p>
        </w:tc>
        <w:tc>
          <w:tcPr>
            <w:tcW w:w="1417" w:type="dxa"/>
            <w:tcBorders>
              <w:top w:val="nil"/>
              <w:left w:val="nil"/>
              <w:bottom w:val="single" w:sz="4" w:space="0" w:color="auto"/>
              <w:right w:val="single" w:sz="4" w:space="0" w:color="auto"/>
            </w:tcBorders>
            <w:shd w:val="clear" w:color="auto" w:fill="auto"/>
            <w:noWrap/>
            <w:vAlign w:val="bottom"/>
            <w:hideMark/>
          </w:tcPr>
          <w:p w14:paraId="5290EDDB" w14:textId="77777777" w:rsidR="008923A6" w:rsidRPr="00F9291A" w:rsidRDefault="008923A6" w:rsidP="008923A6">
            <w:pPr>
              <w:jc w:val="right"/>
              <w:rPr>
                <w:color w:val="000000"/>
                <w:sz w:val="20"/>
                <w:szCs w:val="20"/>
              </w:rPr>
            </w:pPr>
            <w:r w:rsidRPr="00F9291A">
              <w:rPr>
                <w:color w:val="000000"/>
                <w:sz w:val="20"/>
                <w:szCs w:val="20"/>
              </w:rPr>
              <w:t>0.7317</w:t>
            </w:r>
          </w:p>
        </w:tc>
        <w:tc>
          <w:tcPr>
            <w:tcW w:w="1134" w:type="dxa"/>
            <w:tcBorders>
              <w:top w:val="nil"/>
              <w:left w:val="nil"/>
              <w:bottom w:val="single" w:sz="4" w:space="0" w:color="auto"/>
              <w:right w:val="single" w:sz="4" w:space="0" w:color="auto"/>
            </w:tcBorders>
            <w:shd w:val="clear" w:color="auto" w:fill="auto"/>
            <w:noWrap/>
            <w:vAlign w:val="bottom"/>
            <w:hideMark/>
          </w:tcPr>
          <w:p w14:paraId="1D01CAFE" w14:textId="77777777" w:rsidR="008923A6" w:rsidRPr="00F9291A" w:rsidRDefault="008923A6" w:rsidP="008923A6">
            <w:pPr>
              <w:jc w:val="right"/>
              <w:rPr>
                <w:color w:val="000000"/>
                <w:sz w:val="20"/>
                <w:szCs w:val="20"/>
              </w:rPr>
            </w:pPr>
            <w:r w:rsidRPr="00F9291A">
              <w:rPr>
                <w:color w:val="000000"/>
                <w:sz w:val="20"/>
                <w:szCs w:val="20"/>
              </w:rPr>
              <w:t>111.86%</w:t>
            </w:r>
          </w:p>
        </w:tc>
      </w:tr>
    </w:tbl>
    <w:p w14:paraId="79F61EC7" w14:textId="77777777" w:rsidR="008923A6" w:rsidRDefault="008923A6" w:rsidP="009C3BBA">
      <w:pPr>
        <w:pStyle w:val="0Maintext"/>
        <w:spacing w:after="120" w:afterAutospacing="0" w:line="240" w:lineRule="auto"/>
        <w:ind w:firstLine="0"/>
        <w:rPr>
          <w:lang w:val="en-US" w:eastAsia="zh-CN"/>
        </w:rPr>
      </w:pPr>
    </w:p>
    <w:p w14:paraId="07FA622C" w14:textId="2266FD05" w:rsidR="00107247" w:rsidRDefault="00107247" w:rsidP="009C3BBA">
      <w:pPr>
        <w:pStyle w:val="0Maintext"/>
        <w:spacing w:after="120" w:afterAutospacing="0" w:line="240" w:lineRule="auto"/>
        <w:ind w:firstLine="0"/>
        <w:rPr>
          <w:lang w:val="en-US" w:eastAsia="zh-CN"/>
        </w:rPr>
      </w:pPr>
      <w:r>
        <w:rPr>
          <w:lang w:val="en-US" w:eastAsia="zh-CN"/>
        </w:rPr>
        <w:t>The UL receiving power for a resource element should be calculated as follows:</w:t>
      </w:r>
    </w:p>
    <w:p w14:paraId="4A653934" w14:textId="3C6ADA46" w:rsidR="00107247" w:rsidRDefault="00242650"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r>
                <w:rPr>
                  <w:rFonts w:ascii="Cambria Math" w:hAnsi="Cambria Math"/>
                  <w:lang w:val="en-US" w:eastAsia="zh-CN"/>
                </w:rPr>
                <m:t>)</m:t>
              </m:r>
            </m:e>
          </m:func>
          <m:r>
            <w:rPr>
              <w:rFonts w:ascii="Cambria Math" w:hAnsi="Cambria Math"/>
              <w:lang w:val="en-US" w:eastAsia="zh-CN"/>
            </w:rPr>
            <m:t>-PL</m:t>
          </m:r>
        </m:oMath>
      </m:oMathPara>
    </w:p>
    <w:p w14:paraId="2F8635FA" w14:textId="6B639EA8"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indicates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 which can be obtained as follows:</w:t>
      </w:r>
    </w:p>
    <w:p w14:paraId="6ED6215C" w14:textId="347B3FC6" w:rsidR="00107247" w:rsidRDefault="00242650"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+10log10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 xml:space="preserve">+α×PL+f+∆,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m:oMathPara>
    </w:p>
    <w:p w14:paraId="57635B88" w14:textId="4080EF14"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sidR="003944D1">
        <w:rPr>
          <w:lang w:val="en-US" w:eastAsia="zh-CN"/>
        </w:rPr>
        <w:t xml:space="preserve"> and </w:t>
      </w:r>
      <m:oMath>
        <m:r>
          <w:rPr>
            <w:rFonts w:ascii="Cambria Math" w:hAnsi="Cambria Math"/>
            <w:lang w:val="en-US" w:eastAsia="zh-CN"/>
          </w:rPr>
          <m:t>α</m:t>
        </m:r>
      </m:oMath>
      <w:r w:rsidR="003944D1">
        <w:rPr>
          <w:lang w:val="en-US" w:eastAsia="zh-CN"/>
        </w:rPr>
        <w:t xml:space="preserve"> are configured by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sidR="003944D1">
        <w:rPr>
          <w:lang w:val="en-US" w:eastAsia="zh-CN"/>
        </w:rPr>
        <w:t xml:space="preserve"> denotes the number of scheduled RBs, </w:t>
      </w:r>
      <m:oMath>
        <m:r>
          <w:rPr>
            <w:rFonts w:ascii="Cambria Math" w:hAnsi="Cambria Math"/>
            <w:lang w:val="en-US" w:eastAsia="zh-CN"/>
          </w:rPr>
          <m:t>u</m:t>
        </m:r>
      </m:oMath>
      <w:r w:rsidR="003944D1">
        <w:rPr>
          <w:lang w:val="en-US" w:eastAsia="zh-CN"/>
        </w:rPr>
        <w:t xml:space="preserve"> is the subcarrier spacing scaling factor, </w:t>
      </w:r>
      <m:oMath>
        <m:r>
          <w:rPr>
            <w:rFonts w:ascii="Cambria Math" w:hAnsi="Cambria Math"/>
            <w:lang w:val="en-US" w:eastAsia="zh-CN"/>
          </w:rPr>
          <m:t>f</m:t>
        </m:r>
      </m:oMath>
      <w:r w:rsidR="003944D1">
        <w:rPr>
          <w:lang w:val="en-US" w:eastAsia="zh-CN"/>
        </w:rPr>
        <w:t xml:space="preserve"> is the closed-loop power control factors and </w:t>
      </w:r>
      <m:oMath>
        <m:r>
          <w:rPr>
            <w:rFonts w:ascii="Cambria Math" w:hAnsi="Cambria Math"/>
            <w:lang w:val="en-US" w:eastAsia="zh-CN"/>
          </w:rPr>
          <m:t>∆</m:t>
        </m:r>
      </m:oMath>
      <w:r w:rsidR="003944D1">
        <w:rPr>
          <w:lang w:val="en-US" w:eastAsia="zh-CN"/>
        </w:rPr>
        <w:t xml:space="preserve"> refers to </w:t>
      </w:r>
      <w:r w:rsidR="001D6F74">
        <w:rPr>
          <w:lang w:val="en-US" w:eastAsia="zh-CN"/>
        </w:rPr>
        <w:t xml:space="preserve">the </w:t>
      </w:r>
      <w:r w:rsidR="003944D1">
        <w:rPr>
          <w:rFonts w:hint="eastAsia"/>
          <w:lang w:val="en-US" w:eastAsia="zh-CN"/>
        </w:rPr>
        <w:t>M</w:t>
      </w:r>
      <w:r w:rsidR="003944D1">
        <w:rPr>
          <w:lang w:val="en-US" w:eastAsia="zh-CN"/>
        </w:rPr>
        <w:t>CS compensation factor.</w:t>
      </w:r>
    </w:p>
    <w:p w14:paraId="2D609BB2" w14:textId="1AF76A71" w:rsidR="00306493" w:rsidRDefault="00306493" w:rsidP="009C3BBA">
      <w:pPr>
        <w:pStyle w:val="0Maintext"/>
        <w:spacing w:after="120" w:afterAutospacing="0" w:line="240" w:lineRule="auto"/>
        <w:ind w:firstLine="0"/>
        <w:rPr>
          <w:lang w:val="en-US" w:eastAsia="zh-CN"/>
        </w:rPr>
      </w:pPr>
      <w:r>
        <w:rPr>
          <w:lang w:val="en-US" w:eastAsia="zh-CN"/>
        </w:rPr>
        <w:t>Thus, the receiving power could be calculated as follows:</w:t>
      </w:r>
    </w:p>
    <w:p w14:paraId="20BB1F6F" w14:textId="47F872D2" w:rsidR="00306493" w:rsidRPr="00306493" w:rsidRDefault="00242650"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 xml:space="preserve">-PL,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e>
                <m:e>
                  <m:r>
                    <w:rPr>
                      <w:rFonts w:ascii="Cambria Math" w:hAnsi="Cambria Math"/>
                      <w:lang w:val="en-US" w:eastAsia="zh-CN"/>
                    </w:rPr>
                    <m:t>P0+10log10</m:t>
                  </m:r>
                  <m:d>
                    <m:dPr>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num>
                        <m:den>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den>
                      </m:f>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α-1</m:t>
                      </m:r>
                    </m:e>
                  </m:d>
                  <m:r>
                    <w:rPr>
                      <w:rFonts w:ascii="Cambria Math" w:hAnsi="Cambria Math"/>
                      <w:lang w:val="en-US" w:eastAsia="zh-CN"/>
                    </w:rPr>
                    <m:t xml:space="preserve">PL+f+∆,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 xml:space="preserve"> </m:t>
                  </m:r>
                </m:e>
              </m:eqArr>
            </m:e>
          </m:d>
        </m:oMath>
      </m:oMathPara>
    </w:p>
    <w:p w14:paraId="7160F058" w14:textId="77777777" w:rsidR="00B76E3D" w:rsidRDefault="00B76E3D" w:rsidP="009C3BBA">
      <w:pPr>
        <w:pStyle w:val="0Maintext"/>
        <w:spacing w:after="120" w:afterAutospacing="0" w:line="240" w:lineRule="auto"/>
        <w:ind w:firstLine="0"/>
        <w:rPr>
          <w:lang w:val="en-US" w:eastAsia="zh-CN"/>
        </w:rPr>
      </w:pPr>
      <w:r>
        <w:rPr>
          <w:lang w:val="en-US" w:eastAsia="zh-CN"/>
        </w:rPr>
        <w:lastRenderedPageBreak/>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oMath>
      <w:r>
        <w:rPr>
          <w:lang w:val="en-US" w:eastAsia="zh-CN"/>
        </w:rPr>
        <w:t xml:space="preserve"> denotes number of subcarriers per RB. </w:t>
      </w:r>
    </w:p>
    <w:p w14:paraId="15E7C492" w14:textId="7CB4098F" w:rsidR="00306493" w:rsidRDefault="00B76E3D" w:rsidP="009C3BBA">
      <w:pPr>
        <w:pStyle w:val="0Maintext"/>
        <w:spacing w:after="120" w:afterAutospacing="0" w:line="240" w:lineRule="auto"/>
        <w:ind w:firstLine="0"/>
        <w:rPr>
          <w:lang w:val="en-US" w:eastAsia="zh-CN"/>
        </w:rPr>
      </w:pPr>
      <w:r>
        <w:rPr>
          <w:lang w:val="en-US" w:eastAsia="zh-CN"/>
        </w:rPr>
        <w:t xml:space="preserve">It can be observed that the receiving power per resource element should be determined based on the number of scheduled RBs, P-MPR, Pcmax, pathloss, closed-loop power control factor as well as MCS compensation factor. </w:t>
      </w:r>
      <w:r w:rsidR="0094095E">
        <w:rPr>
          <w:lang w:val="en-US" w:eastAsia="zh-CN"/>
        </w:rPr>
        <w:t>Then the beam reporting can report something for gNB to calculate the receiving power per resource element. A starting point could be to report virtual PHR, Pcmax, P-MPR as well as L1-RSRP, where the virtual PHR can be calculated as follows:</w:t>
      </w:r>
    </w:p>
    <w:p w14:paraId="21DF9DA6" w14:textId="6357970E" w:rsidR="0094095E" w:rsidRPr="00306493" w:rsidRDefault="0094095E" w:rsidP="009C3BBA">
      <w:pPr>
        <w:pStyle w:val="0Maintext"/>
        <w:spacing w:after="120" w:afterAutospacing="0" w:line="240" w:lineRule="auto"/>
        <w:ind w:firstLine="0"/>
        <w:rPr>
          <w:lang w:val="en-US" w:eastAsia="zh-CN"/>
        </w:rPr>
      </w:pPr>
      <m:oMathPara>
        <m:oMath>
          <m:r>
            <w:rPr>
              <w:rFonts w:ascii="Cambria Math" w:hAnsi="Cambria Math"/>
              <w:lang w:val="en-US" w:eastAsia="zh-CN"/>
            </w:rPr>
            <m:t>PH=</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+α×PL+f+∆}</m:t>
          </m:r>
        </m:oMath>
      </m:oMathPara>
    </w:p>
    <w:p w14:paraId="3ECDC42D" w14:textId="0A1E24A2" w:rsidR="008923A6" w:rsidRDefault="0094095E" w:rsidP="009C3BBA">
      <w:pPr>
        <w:pStyle w:val="0Maintext"/>
        <w:spacing w:after="120" w:afterAutospacing="0" w:line="240" w:lineRule="auto"/>
        <w:ind w:firstLine="0"/>
        <w:rPr>
          <w:lang w:val="en-US" w:eastAsia="zh-CN"/>
        </w:rPr>
      </w:pPr>
      <w:r>
        <w:rPr>
          <w:lang w:val="en-US" w:eastAsia="zh-CN"/>
        </w:rPr>
        <w:t>Where for fast beam measurement and reporting, PL can be calculated based on the L1-RSRP as well as the transmission power for the measured SSB/CSI-RS.</w:t>
      </w:r>
    </w:p>
    <w:p w14:paraId="038376F3" w14:textId="08344962" w:rsidR="00990D66" w:rsidRDefault="00990D66" w:rsidP="00990D66">
      <w:pPr>
        <w:pStyle w:val="0Maintext"/>
        <w:spacing w:after="120" w:afterAutospacing="0" w:line="240" w:lineRule="auto"/>
        <w:ind w:firstLine="0"/>
        <w:rPr>
          <w:lang w:val="en-US" w:eastAsia="zh-CN"/>
        </w:rPr>
      </w:pPr>
      <w:r>
        <w:rPr>
          <w:lang w:val="en-US" w:eastAsia="zh-CN"/>
        </w:rPr>
        <w:t xml:space="preserve">Usually, the UL and DL beam should be the same. But with regard to MPE issue, UE may apply some power back-off for some UL beams. Such power back-off may not change the UL beam selection decision if the UE locates in the cell center. However, if the UE is in power limit status, some impact from the power back-off would be observed as shown in Figure </w:t>
      </w:r>
      <w:r w:rsidR="002C1494">
        <w:rPr>
          <w:lang w:val="en-US" w:eastAsia="zh-CN"/>
        </w:rPr>
        <w:t>10</w:t>
      </w:r>
      <w:r>
        <w:rPr>
          <w:lang w:val="en-US" w:eastAsia="zh-CN"/>
        </w:rPr>
        <w:t>. Thus, the best UL beam could be different for different scheduled bandwidth if some power back-off needs to be applied due to MPE issue. For smaller bandwidth, the best UL beam could be the same as the DL beam, but for larger bandwidth, UE may choose a different beam for uplink transmission. For unified TCI framework, gNB can provide a bandwidth range for the TCI state, and the TCI can only be applicable for the uplink channel withing the bandwidth range.</w:t>
      </w:r>
    </w:p>
    <w:p w14:paraId="6576FAB4" w14:textId="77777777" w:rsidR="00990D66" w:rsidRDefault="00990D66" w:rsidP="00990D66">
      <w:pPr>
        <w:pStyle w:val="0Maintext"/>
        <w:spacing w:after="120" w:afterAutospacing="0" w:line="240" w:lineRule="auto"/>
        <w:ind w:firstLine="0"/>
        <w:jc w:val="center"/>
        <w:rPr>
          <w:lang w:val="en-US" w:eastAsia="zh-CN"/>
        </w:rPr>
      </w:pPr>
      <w:r w:rsidRPr="004312F7">
        <w:rPr>
          <w:noProof/>
          <w:lang w:val="en-US" w:eastAsia="zh-CN"/>
        </w:rPr>
        <w:drawing>
          <wp:inline distT="0" distB="0" distL="0" distR="0" wp14:anchorId="6A42E9F0" wp14:editId="24158B88">
            <wp:extent cx="5727700" cy="30054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7700" cy="3005455"/>
                    </a:xfrm>
                    <a:prstGeom prst="rect">
                      <a:avLst/>
                    </a:prstGeom>
                  </pic:spPr>
                </pic:pic>
              </a:graphicData>
            </a:graphic>
          </wp:inline>
        </w:drawing>
      </w:r>
    </w:p>
    <w:p w14:paraId="41701286" w14:textId="7F4CCF65" w:rsidR="00990D66" w:rsidRPr="00990D66" w:rsidRDefault="00990D66" w:rsidP="00990D66">
      <w:pPr>
        <w:pStyle w:val="0Maintext"/>
        <w:spacing w:after="120" w:afterAutospacing="0" w:line="240" w:lineRule="auto"/>
        <w:ind w:firstLine="0"/>
        <w:jc w:val="center"/>
        <w:rPr>
          <w:b/>
          <w:bCs/>
          <w:lang w:val="en-US" w:eastAsia="zh-CN"/>
        </w:rPr>
      </w:pPr>
      <w:r w:rsidRPr="004312F7">
        <w:rPr>
          <w:b/>
          <w:bCs/>
          <w:lang w:val="en-US" w:eastAsia="zh-CN"/>
        </w:rPr>
        <w:t xml:space="preserve">Figure </w:t>
      </w:r>
      <w:r w:rsidR="002C1494">
        <w:rPr>
          <w:b/>
          <w:bCs/>
          <w:lang w:val="en-US" w:eastAsia="zh-CN"/>
        </w:rPr>
        <w:t>10</w:t>
      </w:r>
      <w:r w:rsidRPr="004312F7">
        <w:rPr>
          <w:b/>
          <w:bCs/>
          <w:lang w:val="en-US" w:eastAsia="zh-CN"/>
        </w:rPr>
        <w:t xml:space="preserve">: </w:t>
      </w:r>
      <w:r>
        <w:rPr>
          <w:b/>
          <w:bCs/>
          <w:lang w:val="en-US" w:eastAsia="zh-CN"/>
        </w:rPr>
        <w:t>Uplink</w:t>
      </w:r>
      <w:r w:rsidRPr="004312F7">
        <w:rPr>
          <w:b/>
          <w:bCs/>
          <w:lang w:val="en-US" w:eastAsia="zh-CN"/>
        </w:rPr>
        <w:t xml:space="preserve"> beam indication with regard to MPE impact</w:t>
      </w:r>
    </w:p>
    <w:p w14:paraId="7F46CC19" w14:textId="5B390D6D" w:rsidR="0094095E" w:rsidRPr="0094095E" w:rsidRDefault="0094095E" w:rsidP="009C3BBA">
      <w:pPr>
        <w:pStyle w:val="0Maintext"/>
        <w:spacing w:after="120" w:afterAutospacing="0" w:line="240" w:lineRule="auto"/>
        <w:ind w:firstLine="0"/>
        <w:rPr>
          <w:b/>
          <w:bCs/>
          <w:i/>
          <w:iCs/>
          <w:lang w:val="en-US" w:eastAsia="zh-CN"/>
        </w:rPr>
      </w:pPr>
      <w:r w:rsidRPr="0094095E">
        <w:rPr>
          <w:b/>
          <w:bCs/>
          <w:i/>
          <w:iCs/>
          <w:lang w:val="en-US" w:eastAsia="zh-CN"/>
        </w:rPr>
        <w:t>Proposal 1</w:t>
      </w:r>
      <w:r w:rsidR="00F302FE">
        <w:rPr>
          <w:b/>
          <w:bCs/>
          <w:i/>
          <w:iCs/>
          <w:lang w:val="en-US" w:eastAsia="zh-CN"/>
        </w:rPr>
        <w:t>5</w:t>
      </w:r>
      <w:r w:rsidRPr="0094095E">
        <w:rPr>
          <w:b/>
          <w:bCs/>
          <w:i/>
          <w:iCs/>
          <w:lang w:val="en-US" w:eastAsia="zh-CN"/>
        </w:rPr>
        <w:t xml:space="preserve">: </w:t>
      </w:r>
      <w:r>
        <w:rPr>
          <w:b/>
          <w:bCs/>
          <w:i/>
          <w:iCs/>
          <w:lang w:val="en-US" w:eastAsia="zh-CN"/>
        </w:rPr>
        <w:t>With regard to MPE impact, s</w:t>
      </w:r>
      <w:r w:rsidRPr="0094095E">
        <w:rPr>
          <w:b/>
          <w:bCs/>
          <w:i/>
          <w:iCs/>
          <w:lang w:val="en-US" w:eastAsia="zh-CN"/>
        </w:rPr>
        <w:t>upport beam report enhancement to facilitate UL receiving power based beam selection.</w:t>
      </w:r>
    </w:p>
    <w:p w14:paraId="5F70C13E" w14:textId="50D2A59A" w:rsidR="0094095E" w:rsidRPr="0094095E" w:rsidRDefault="0094095E" w:rsidP="0094095E">
      <w:pPr>
        <w:pStyle w:val="0Maintext"/>
        <w:numPr>
          <w:ilvl w:val="0"/>
          <w:numId w:val="36"/>
        </w:numPr>
        <w:spacing w:after="120" w:afterAutospacing="0" w:line="240" w:lineRule="auto"/>
        <w:rPr>
          <w:b/>
          <w:bCs/>
          <w:i/>
          <w:iCs/>
          <w:lang w:val="en-US" w:eastAsia="zh-CN"/>
        </w:rPr>
      </w:pPr>
      <w:r w:rsidRPr="0094095E">
        <w:rPr>
          <w:b/>
          <w:bCs/>
          <w:i/>
          <w:iCs/>
          <w:lang w:val="en-US" w:eastAsia="zh-CN"/>
        </w:rPr>
        <w:t>Support UE reports Pcmax with P-MPR included, virtual PHR and L1-RSRP for SSB/CSI-RS in a beam reporting instance</w:t>
      </w:r>
    </w:p>
    <w:p w14:paraId="3C27F1BE" w14:textId="36C5079C" w:rsidR="0094095E" w:rsidRDefault="0094095E" w:rsidP="0094095E">
      <w:pPr>
        <w:pStyle w:val="0Maintext"/>
        <w:numPr>
          <w:ilvl w:val="0"/>
          <w:numId w:val="36"/>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3FC1AC8F" w14:textId="09592248" w:rsidR="00F302FE" w:rsidRPr="0094095E" w:rsidRDefault="00F302FE" w:rsidP="00F302FE">
      <w:pPr>
        <w:pStyle w:val="0Maintext"/>
        <w:spacing w:after="120" w:afterAutospacing="0" w:line="240" w:lineRule="auto"/>
        <w:ind w:firstLine="0"/>
        <w:rPr>
          <w:b/>
          <w:bCs/>
          <w:i/>
          <w:iCs/>
          <w:lang w:val="en-US" w:eastAsia="zh-CN"/>
        </w:rPr>
      </w:pPr>
      <w:r>
        <w:rPr>
          <w:b/>
          <w:bCs/>
          <w:i/>
          <w:iCs/>
          <w:lang w:val="en-US" w:eastAsia="zh-CN"/>
        </w:rPr>
        <w:t>Proposal 16: With regard to MPE impact, support gNB to configure applicable bandwidth range for the uplink TCI, where the TCI should be applied for uplink channel within the bandwidth range.</w:t>
      </w:r>
    </w:p>
    <w:p w14:paraId="44679E02" w14:textId="67F62268" w:rsidR="009C3BBA" w:rsidRDefault="0094095E" w:rsidP="0094095E">
      <w:pPr>
        <w:pStyle w:val="Heading1"/>
      </w:pPr>
      <w:r>
        <w:t>Issue 6: Beam tracking latency reduction</w:t>
      </w:r>
    </w:p>
    <w:p w14:paraId="0BFD3300" w14:textId="1E87C59A" w:rsidR="00F52ED3" w:rsidRPr="00F52ED3" w:rsidRDefault="0094095E" w:rsidP="0094095E">
      <w:pPr>
        <w:pStyle w:val="Heading2"/>
      </w:pPr>
      <w:r>
        <w:t>Necessity to reduce beam tracking latency</w:t>
      </w:r>
    </w:p>
    <w:p w14:paraId="169B3C81" w14:textId="37CD8C55" w:rsidR="004A2991" w:rsidRDefault="004B4D8D" w:rsidP="003262D0">
      <w:pPr>
        <w:pStyle w:val="0Maintext"/>
        <w:spacing w:after="120" w:afterAutospacing="0" w:line="240" w:lineRule="auto"/>
        <w:ind w:firstLine="0"/>
        <w:rPr>
          <w:lang w:val="en-US" w:eastAsia="zh-CN"/>
        </w:rPr>
      </w:pPr>
      <w:r>
        <w:rPr>
          <w:lang w:val="en-US" w:eastAsia="zh-CN"/>
        </w:rPr>
        <w:t xml:space="preserve">In Rel-15/Rel-16, the beam management framework has been defined, which includes beam report and beam indication. A good gNB-UE beam pair can be helpful </w:t>
      </w:r>
      <w:r w:rsidR="004A2991">
        <w:rPr>
          <w:lang w:val="en-US" w:eastAsia="zh-CN"/>
        </w:rPr>
        <w:t xml:space="preserve">to increase the link budget so as to improve the coverage and system performance. Then </w:t>
      </w:r>
      <w:r w:rsidR="00AB59B7">
        <w:rPr>
          <w:lang w:val="en-US" w:eastAsia="zh-CN"/>
        </w:rPr>
        <w:t>one</w:t>
      </w:r>
      <w:r w:rsidR="004A2991">
        <w:rPr>
          <w:lang w:val="en-US" w:eastAsia="zh-CN"/>
        </w:rPr>
        <w:t xml:space="preserve"> question is what kind of gNB-UE beam pair could be considered to be good </w:t>
      </w:r>
      <w:r w:rsidR="004A2991">
        <w:rPr>
          <w:lang w:val="en-US" w:eastAsia="zh-CN"/>
        </w:rPr>
        <w:lastRenderedPageBreak/>
        <w:t>enough. Ideally the good gNB-UE beam pair could be the one with best beam quality, e.g. best L1-RSRP. Currently to find out the best gNB-UE beam pair would require a lot of measurement effort. Given there are N</w:t>
      </w:r>
      <w:r w:rsidR="00AB59B7" w:rsidRPr="00AB59B7">
        <w:rPr>
          <w:vertAlign w:val="subscript"/>
          <w:lang w:val="en-US" w:eastAsia="zh-CN"/>
        </w:rPr>
        <w:t>Tx</w:t>
      </w:r>
      <w:r w:rsidR="004A2991">
        <w:rPr>
          <w:lang w:val="en-US" w:eastAsia="zh-CN"/>
        </w:rPr>
        <w:t xml:space="preserve"> Tx beams in gNB side and </w:t>
      </w:r>
      <w:r w:rsidR="00AB59B7">
        <w:rPr>
          <w:lang w:val="en-US" w:eastAsia="zh-CN"/>
        </w:rPr>
        <w:t>N</w:t>
      </w:r>
      <w:r w:rsidR="00AB59B7" w:rsidRPr="00AB59B7">
        <w:rPr>
          <w:vertAlign w:val="subscript"/>
          <w:lang w:val="en-US" w:eastAsia="zh-CN"/>
        </w:rPr>
        <w:t>Rx</w:t>
      </w:r>
      <w:r w:rsidR="004A2991">
        <w:rPr>
          <w:lang w:val="en-US" w:eastAsia="zh-CN"/>
        </w:rPr>
        <w:t xml:space="preserve"> Rx beams in UE side, the worst case is to try N</w:t>
      </w:r>
      <w:r w:rsidR="00AB59B7" w:rsidRPr="00AB59B7">
        <w:rPr>
          <w:vertAlign w:val="subscript"/>
          <w:lang w:val="en-US" w:eastAsia="zh-CN"/>
        </w:rPr>
        <w:t>Tx</w:t>
      </w:r>
      <w:r w:rsidR="004A2991">
        <w:rPr>
          <w:lang w:val="en-US" w:eastAsia="zh-CN"/>
        </w:rPr>
        <w:t>*</w:t>
      </w:r>
      <w:r w:rsidR="00AB59B7">
        <w:rPr>
          <w:lang w:val="en-US" w:eastAsia="zh-CN"/>
        </w:rPr>
        <w:t>N</w:t>
      </w:r>
      <w:r w:rsidR="00AB59B7" w:rsidRPr="00AB59B7">
        <w:rPr>
          <w:vertAlign w:val="subscript"/>
          <w:lang w:val="en-US" w:eastAsia="zh-CN"/>
        </w:rPr>
        <w:t>Rx</w:t>
      </w:r>
      <w:r w:rsidR="004A2991">
        <w:rPr>
          <w:lang w:val="en-US" w:eastAsia="zh-CN"/>
        </w:rPr>
        <w:t xml:space="preserve"> times measurement to find out the best beam. </w:t>
      </w:r>
      <w:r w:rsidR="00860F75">
        <w:rPr>
          <w:lang w:val="en-US" w:eastAsia="zh-CN"/>
        </w:rPr>
        <w:t xml:space="preserve">Thus, it is not guaranteed that UE is able to </w:t>
      </w:r>
      <w:r w:rsidR="00AB59B7">
        <w:rPr>
          <w:lang w:val="en-US" w:eastAsia="zh-CN"/>
        </w:rPr>
        <w:t>find out</w:t>
      </w:r>
      <w:r w:rsidR="00860F75">
        <w:rPr>
          <w:lang w:val="en-US" w:eastAsia="zh-CN"/>
        </w:rPr>
        <w:t xml:space="preserve"> the best beam pair. </w:t>
      </w:r>
      <w:r w:rsidR="00AB59B7">
        <w:rPr>
          <w:lang w:val="en-US" w:eastAsia="zh-CN"/>
        </w:rPr>
        <w:t>Thus, with regard to intra-cell/inter-cell mobility, this</w:t>
      </w:r>
      <w:r w:rsidR="00860F75">
        <w:rPr>
          <w:lang w:val="en-US" w:eastAsia="zh-CN"/>
        </w:rPr>
        <w:t xml:space="preserve"> would </w:t>
      </w:r>
      <w:r w:rsidR="00AB59B7">
        <w:rPr>
          <w:lang w:val="en-US" w:eastAsia="zh-CN"/>
        </w:rPr>
        <w:t>lead to</w:t>
      </w:r>
      <w:r w:rsidR="00860F75">
        <w:rPr>
          <w:lang w:val="en-US" w:eastAsia="zh-CN"/>
        </w:rPr>
        <w:t xml:space="preserve"> one </w:t>
      </w:r>
      <w:r w:rsidR="00AB59B7">
        <w:rPr>
          <w:lang w:val="en-US" w:eastAsia="zh-CN"/>
        </w:rPr>
        <w:t xml:space="preserve">basic </w:t>
      </w:r>
      <w:r w:rsidR="00860F75">
        <w:rPr>
          <w:lang w:val="en-US" w:eastAsia="zh-CN"/>
        </w:rPr>
        <w:t>question:</w:t>
      </w:r>
    </w:p>
    <w:p w14:paraId="6D2549D8" w14:textId="5752A0DE" w:rsidR="00860F75" w:rsidRPr="00AB59B7" w:rsidRDefault="00AB59B7" w:rsidP="00860F75">
      <w:pPr>
        <w:pStyle w:val="0Maintext"/>
        <w:numPr>
          <w:ilvl w:val="0"/>
          <w:numId w:val="16"/>
        </w:numPr>
        <w:spacing w:after="120" w:afterAutospacing="0" w:line="240" w:lineRule="auto"/>
        <w:rPr>
          <w:b/>
          <w:bCs/>
          <w:lang w:val="en-US" w:eastAsia="zh-CN"/>
        </w:rPr>
      </w:pPr>
      <w:r w:rsidRPr="00AB59B7">
        <w:rPr>
          <w:b/>
          <w:bCs/>
          <w:lang w:val="en-US" w:eastAsia="zh-CN"/>
        </w:rPr>
        <w:t xml:space="preserve">Question: </w:t>
      </w:r>
      <w:r w:rsidR="00860F75" w:rsidRPr="00AB59B7">
        <w:rPr>
          <w:b/>
          <w:bCs/>
          <w:lang w:val="en-US" w:eastAsia="zh-CN"/>
        </w:rPr>
        <w:t>I</w:t>
      </w:r>
      <w:r w:rsidR="00860F75" w:rsidRPr="00AB59B7">
        <w:rPr>
          <w:rFonts w:hint="eastAsia"/>
          <w:b/>
          <w:bCs/>
          <w:lang w:val="en-US" w:eastAsia="zh-CN"/>
        </w:rPr>
        <w:t>f</w:t>
      </w:r>
      <w:r w:rsidR="00860F75" w:rsidRPr="00AB59B7">
        <w:rPr>
          <w:b/>
          <w:bCs/>
          <w:lang w:val="en-US" w:eastAsia="zh-CN"/>
        </w:rPr>
        <w:t xml:space="preserve"> UE is not able to </w:t>
      </w:r>
      <w:r>
        <w:rPr>
          <w:b/>
          <w:bCs/>
          <w:lang w:val="en-US" w:eastAsia="zh-CN"/>
        </w:rPr>
        <w:t>find out</w:t>
      </w:r>
      <w:r w:rsidR="00860F75" w:rsidRPr="00AB59B7">
        <w:rPr>
          <w:b/>
          <w:bCs/>
          <w:lang w:val="en-US" w:eastAsia="zh-CN"/>
        </w:rPr>
        <w:t xml:space="preserve"> the best gNB-UE beam pair, </w:t>
      </w:r>
      <w:r w:rsidR="007727CB" w:rsidRPr="00AB59B7">
        <w:rPr>
          <w:b/>
          <w:bCs/>
          <w:lang w:val="en-US" w:eastAsia="zh-CN"/>
        </w:rPr>
        <w:t>is it possible that</w:t>
      </w:r>
      <w:r w:rsidR="00860F75" w:rsidRPr="00AB59B7">
        <w:rPr>
          <w:b/>
          <w:bCs/>
          <w:lang w:val="en-US" w:eastAsia="zh-CN"/>
        </w:rPr>
        <w:t xml:space="preserve"> an incorrect gNB would be selected</w:t>
      </w:r>
      <w:r w:rsidR="007727CB" w:rsidRPr="00AB59B7">
        <w:rPr>
          <w:b/>
          <w:bCs/>
          <w:lang w:val="en-US" w:eastAsia="zh-CN"/>
        </w:rPr>
        <w:t>?</w:t>
      </w:r>
    </w:p>
    <w:p w14:paraId="5FB1279E" w14:textId="71E46322" w:rsidR="004A2991" w:rsidRDefault="007727CB" w:rsidP="003262D0">
      <w:pPr>
        <w:pStyle w:val="0Maintext"/>
        <w:spacing w:after="120" w:afterAutospacing="0" w:line="240" w:lineRule="auto"/>
        <w:ind w:firstLine="0"/>
        <w:rPr>
          <w:lang w:val="en-US" w:eastAsia="zh-CN"/>
        </w:rPr>
      </w:pPr>
      <w:r>
        <w:rPr>
          <w:lang w:val="en-US" w:eastAsia="zh-CN"/>
        </w:rPr>
        <w:t>We did some system level simulation to investigate the issue. The simulation is assumed that UE can select one of the N best beam pairs randomly and perform cell association based on this selected beam. The simulation assumption is shown in Table A-</w:t>
      </w:r>
      <w:r w:rsidR="00AE0234">
        <w:rPr>
          <w:lang w:val="en-US" w:eastAsia="zh-CN"/>
        </w:rPr>
        <w:t>3</w:t>
      </w:r>
      <w:r>
        <w:rPr>
          <w:lang w:val="en-US" w:eastAsia="zh-CN"/>
        </w:rPr>
        <w:t>. From the simulation results, we observe some that UEs would select an incorrect gNB if it fails to select the best beam, and we can observe significant performance degradation for cell edge UEs, where N=1 is considered as the baseline.</w:t>
      </w:r>
    </w:p>
    <w:p w14:paraId="7EC74D94" w14:textId="4EADA5ED" w:rsidR="007727CB" w:rsidRPr="007727CB" w:rsidRDefault="007727CB" w:rsidP="007727CB">
      <w:pPr>
        <w:pStyle w:val="0Maintext"/>
        <w:spacing w:after="120" w:afterAutospacing="0" w:line="240" w:lineRule="auto"/>
        <w:ind w:firstLine="0"/>
        <w:jc w:val="center"/>
        <w:rPr>
          <w:b/>
          <w:bCs/>
          <w:lang w:val="en-US" w:eastAsia="zh-CN"/>
        </w:rPr>
      </w:pPr>
      <w:r w:rsidRPr="007727CB">
        <w:rPr>
          <w:b/>
          <w:bCs/>
          <w:lang w:val="en-US" w:eastAsia="zh-CN"/>
        </w:rPr>
        <w:t xml:space="preserve">Table </w:t>
      </w:r>
      <w:r w:rsidR="0094095E">
        <w:rPr>
          <w:b/>
          <w:bCs/>
          <w:lang w:val="en-US" w:eastAsia="zh-CN"/>
        </w:rPr>
        <w:t>2</w:t>
      </w:r>
      <w:r w:rsidRPr="007727CB">
        <w:rPr>
          <w:b/>
          <w:bCs/>
          <w:lang w:val="en-US" w:eastAsia="zh-CN"/>
        </w:rPr>
        <w:t>: System Level Evaluation Results</w:t>
      </w:r>
    </w:p>
    <w:tbl>
      <w:tblPr>
        <w:tblStyle w:val="GridTable4-Accent2"/>
        <w:tblW w:w="0" w:type="auto"/>
        <w:tblLook w:val="04A0" w:firstRow="1" w:lastRow="0" w:firstColumn="1" w:lastColumn="0" w:noHBand="0" w:noVBand="1"/>
      </w:tblPr>
      <w:tblGrid>
        <w:gridCol w:w="4531"/>
        <w:gridCol w:w="2268"/>
        <w:gridCol w:w="2211"/>
      </w:tblGrid>
      <w:tr w:rsidR="007727CB" w14:paraId="22553626" w14:textId="77777777" w:rsidTr="007727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FBFBF82" w14:textId="77777777" w:rsidR="007727CB" w:rsidRDefault="007727CB" w:rsidP="003262D0">
            <w:pPr>
              <w:pStyle w:val="0Maintext"/>
              <w:spacing w:after="120" w:afterAutospacing="0" w:line="240" w:lineRule="auto"/>
              <w:ind w:firstLine="0"/>
              <w:rPr>
                <w:lang w:val="en-US" w:eastAsia="zh-CN"/>
              </w:rPr>
            </w:pPr>
          </w:p>
        </w:tc>
        <w:tc>
          <w:tcPr>
            <w:tcW w:w="2268" w:type="dxa"/>
          </w:tcPr>
          <w:p w14:paraId="2A22D2AB" w14:textId="62E9132A"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N=5</w:t>
            </w:r>
          </w:p>
        </w:tc>
        <w:tc>
          <w:tcPr>
            <w:tcW w:w="2211" w:type="dxa"/>
          </w:tcPr>
          <w:p w14:paraId="14F8A817" w14:textId="12A81124"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N=10</w:t>
            </w:r>
          </w:p>
        </w:tc>
      </w:tr>
      <w:tr w:rsidR="007727CB" w14:paraId="6A2CCE8C"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A0B27B2" w14:textId="20242D4C" w:rsidR="007727CB" w:rsidRDefault="007727CB" w:rsidP="003262D0">
            <w:pPr>
              <w:pStyle w:val="0Maintext"/>
              <w:spacing w:after="120" w:afterAutospacing="0" w:line="240" w:lineRule="auto"/>
              <w:ind w:firstLine="0"/>
              <w:rPr>
                <w:lang w:val="en-US" w:eastAsia="zh-CN"/>
              </w:rPr>
            </w:pPr>
            <w:r>
              <w:rPr>
                <w:lang w:val="en-US" w:eastAsia="zh-CN"/>
              </w:rPr>
              <w:t>RSRP degradation</w:t>
            </w:r>
            <w:r w:rsidR="005B0F7A">
              <w:rPr>
                <w:lang w:val="en-US" w:eastAsia="zh-CN"/>
              </w:rPr>
              <w:t xml:space="preserve"> (Figure 1)</w:t>
            </w:r>
          </w:p>
        </w:tc>
        <w:tc>
          <w:tcPr>
            <w:tcW w:w="2268" w:type="dxa"/>
          </w:tcPr>
          <w:p w14:paraId="58FEB3F9" w14:textId="26525A3E"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3E4B4F45" w14:textId="790454F1"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2E9CF2F1"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53FCD1CF" w14:textId="7CD3A92F" w:rsidR="007727CB" w:rsidRDefault="007727CB" w:rsidP="003262D0">
            <w:pPr>
              <w:pStyle w:val="0Maintext"/>
              <w:spacing w:after="120" w:afterAutospacing="0" w:line="240" w:lineRule="auto"/>
              <w:ind w:firstLine="0"/>
              <w:rPr>
                <w:lang w:val="en-US" w:eastAsia="zh-CN"/>
              </w:rPr>
            </w:pPr>
            <w:r>
              <w:rPr>
                <w:lang w:val="en-US" w:eastAsia="zh-CN"/>
              </w:rPr>
              <w:t>Geometry SINR degradation</w:t>
            </w:r>
            <w:r w:rsidR="005B0F7A">
              <w:rPr>
                <w:lang w:val="en-US" w:eastAsia="zh-CN"/>
              </w:rPr>
              <w:t xml:space="preserve"> (Figure 2)</w:t>
            </w:r>
          </w:p>
        </w:tc>
        <w:tc>
          <w:tcPr>
            <w:tcW w:w="2268" w:type="dxa"/>
          </w:tcPr>
          <w:p w14:paraId="2509E331" w14:textId="5D8B08D4"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075DA559" w14:textId="48953BCE"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48CE04F3"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620D673" w14:textId="7AD02442" w:rsidR="007727CB" w:rsidRDefault="007727CB" w:rsidP="003262D0">
            <w:pPr>
              <w:pStyle w:val="0Maintext"/>
              <w:spacing w:after="120" w:afterAutospacing="0" w:line="240" w:lineRule="auto"/>
              <w:ind w:firstLine="0"/>
              <w:rPr>
                <w:lang w:val="en-US" w:eastAsia="zh-CN"/>
              </w:rPr>
            </w:pPr>
            <w:r>
              <w:rPr>
                <w:lang w:val="en-US" w:eastAsia="zh-CN"/>
              </w:rPr>
              <w:t>Percentage of UEs with incorrect cell association</w:t>
            </w:r>
          </w:p>
        </w:tc>
        <w:tc>
          <w:tcPr>
            <w:tcW w:w="2268" w:type="dxa"/>
          </w:tcPr>
          <w:p w14:paraId="44CFDDE2" w14:textId="21D99119"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25.0%</w:t>
            </w:r>
          </w:p>
        </w:tc>
        <w:tc>
          <w:tcPr>
            <w:tcW w:w="2211" w:type="dxa"/>
          </w:tcPr>
          <w:p w14:paraId="757FF45A" w14:textId="7DAB78A8"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38.3%</w:t>
            </w:r>
          </w:p>
        </w:tc>
      </w:tr>
      <w:tr w:rsidR="007727CB" w14:paraId="7DD8883D"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22A0B99E" w14:textId="2884F4BB" w:rsidR="007727CB" w:rsidRDefault="007727CB" w:rsidP="003262D0">
            <w:pPr>
              <w:pStyle w:val="0Maintext"/>
              <w:spacing w:after="120" w:afterAutospacing="0" w:line="240" w:lineRule="auto"/>
              <w:ind w:firstLine="0"/>
              <w:rPr>
                <w:lang w:val="en-US" w:eastAsia="zh-CN"/>
              </w:rPr>
            </w:pPr>
            <w:r>
              <w:rPr>
                <w:lang w:val="en-US" w:eastAsia="zh-CN"/>
              </w:rPr>
              <w:t>Cell edge performance degradation</w:t>
            </w:r>
          </w:p>
        </w:tc>
        <w:tc>
          <w:tcPr>
            <w:tcW w:w="2268" w:type="dxa"/>
          </w:tcPr>
          <w:p w14:paraId="0AFDA5FD" w14:textId="30802264"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22.0%</w:t>
            </w:r>
          </w:p>
        </w:tc>
        <w:tc>
          <w:tcPr>
            <w:tcW w:w="2211" w:type="dxa"/>
          </w:tcPr>
          <w:p w14:paraId="3FD5883E" w14:textId="373A66D5"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44.1%</w:t>
            </w:r>
          </w:p>
        </w:tc>
      </w:tr>
    </w:tbl>
    <w:p w14:paraId="32C09641" w14:textId="77777777" w:rsidR="007727CB" w:rsidRDefault="007727CB" w:rsidP="003262D0">
      <w:pPr>
        <w:pStyle w:val="0Maintext"/>
        <w:spacing w:after="120" w:afterAutospacing="0" w:line="240" w:lineRule="auto"/>
        <w:ind w:firstLine="0"/>
        <w:rPr>
          <w:lang w:val="en-US" w:eastAsia="zh-CN"/>
        </w:rPr>
      </w:pPr>
    </w:p>
    <w:p w14:paraId="4DB08F63" w14:textId="77777777" w:rsidR="005B0F7A" w:rsidRDefault="005B0F7A" w:rsidP="005B0F7A">
      <w:pPr>
        <w:pStyle w:val="0Maintext"/>
        <w:spacing w:after="120" w:afterAutospacing="0" w:line="240" w:lineRule="auto"/>
        <w:ind w:firstLine="0"/>
        <w:jc w:val="center"/>
        <w:rPr>
          <w:lang w:val="en-US" w:eastAsia="zh-CN"/>
        </w:rPr>
        <w:sectPr w:rsidR="005B0F7A" w:rsidSect="004312F7">
          <w:type w:val="continuous"/>
          <w:pgSz w:w="11900" w:h="16840"/>
          <w:pgMar w:top="1440" w:right="1440" w:bottom="1440" w:left="1440" w:header="708" w:footer="708" w:gutter="0"/>
          <w:cols w:space="708"/>
          <w:docGrid w:linePitch="360"/>
        </w:sectPr>
      </w:pPr>
    </w:p>
    <w:p w14:paraId="1F2F3AFF" w14:textId="181DE395" w:rsidR="007727CB" w:rsidRDefault="007727CB" w:rsidP="005B0F7A">
      <w:pPr>
        <w:pStyle w:val="0Maintext"/>
        <w:spacing w:after="120" w:afterAutospacing="0" w:line="240" w:lineRule="auto"/>
        <w:ind w:firstLine="0"/>
        <w:jc w:val="center"/>
        <w:rPr>
          <w:lang w:val="en-US" w:eastAsia="zh-CN"/>
        </w:rPr>
      </w:pPr>
      <w:r w:rsidRPr="007727CB">
        <w:rPr>
          <w:noProof/>
          <w:lang w:val="en-US" w:eastAsia="zh-CN"/>
        </w:rPr>
        <w:drawing>
          <wp:inline distT="0" distB="0" distL="0" distR="0" wp14:anchorId="09425725" wp14:editId="3808D78F">
            <wp:extent cx="2880000" cy="21590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59042"/>
                    </a:xfrm>
                    <a:prstGeom prst="rect">
                      <a:avLst/>
                    </a:prstGeom>
                  </pic:spPr>
                </pic:pic>
              </a:graphicData>
            </a:graphic>
          </wp:inline>
        </w:drawing>
      </w:r>
    </w:p>
    <w:p w14:paraId="3FC93F05" w14:textId="05B5A3CE" w:rsidR="007727CB" w:rsidRPr="005B0F7A" w:rsidRDefault="007727CB" w:rsidP="005B0F7A">
      <w:pPr>
        <w:pStyle w:val="0Maintext"/>
        <w:spacing w:after="120" w:afterAutospacing="0" w:line="240" w:lineRule="auto"/>
        <w:ind w:firstLine="0"/>
        <w:jc w:val="center"/>
        <w:rPr>
          <w:b/>
          <w:bCs/>
          <w:lang w:val="en-US" w:eastAsia="zh-CN"/>
        </w:rPr>
      </w:pPr>
      <w:r w:rsidRPr="005B0F7A">
        <w:rPr>
          <w:b/>
          <w:bCs/>
          <w:lang w:val="en-US" w:eastAsia="zh-CN"/>
        </w:rPr>
        <w:t xml:space="preserve">Figure </w:t>
      </w:r>
      <w:r w:rsidR="00F302FE">
        <w:rPr>
          <w:b/>
          <w:bCs/>
          <w:lang w:val="en-US" w:eastAsia="zh-CN"/>
        </w:rPr>
        <w:t>1</w:t>
      </w:r>
      <w:r w:rsidR="002C1494">
        <w:rPr>
          <w:b/>
          <w:bCs/>
          <w:lang w:val="en-US" w:eastAsia="zh-CN"/>
        </w:rPr>
        <w:t>1</w:t>
      </w:r>
      <w:r w:rsidRPr="005B0F7A">
        <w:rPr>
          <w:b/>
          <w:bCs/>
          <w:lang w:val="en-US" w:eastAsia="zh-CN"/>
        </w:rPr>
        <w:t>: C.D.F. of RSRP</w:t>
      </w:r>
    </w:p>
    <w:p w14:paraId="2A95EE6F" w14:textId="4642E7DC" w:rsidR="007727CB" w:rsidRDefault="005B0F7A" w:rsidP="005B0F7A">
      <w:pPr>
        <w:pStyle w:val="0Maintext"/>
        <w:spacing w:after="120" w:afterAutospacing="0" w:line="240" w:lineRule="auto"/>
        <w:ind w:firstLine="0"/>
        <w:jc w:val="center"/>
        <w:rPr>
          <w:lang w:val="en-US" w:eastAsia="zh-CN"/>
        </w:rPr>
      </w:pPr>
      <w:r w:rsidRPr="005B0F7A">
        <w:rPr>
          <w:noProof/>
          <w:lang w:val="en-US" w:eastAsia="zh-CN"/>
        </w:rPr>
        <w:drawing>
          <wp:inline distT="0" distB="0" distL="0" distR="0" wp14:anchorId="0FC5CC0D" wp14:editId="5B8C2AFD">
            <wp:extent cx="2880000" cy="21622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0000" cy="2162235"/>
                    </a:xfrm>
                    <a:prstGeom prst="rect">
                      <a:avLst/>
                    </a:prstGeom>
                  </pic:spPr>
                </pic:pic>
              </a:graphicData>
            </a:graphic>
          </wp:inline>
        </w:drawing>
      </w:r>
    </w:p>
    <w:p w14:paraId="04F005D8" w14:textId="239E12F6" w:rsidR="007727CB" w:rsidRPr="005B0F7A" w:rsidRDefault="005B0F7A" w:rsidP="005B0F7A">
      <w:pPr>
        <w:pStyle w:val="0Maintext"/>
        <w:spacing w:after="120" w:afterAutospacing="0" w:line="240" w:lineRule="auto"/>
        <w:ind w:firstLine="0"/>
        <w:jc w:val="center"/>
        <w:rPr>
          <w:b/>
          <w:bCs/>
          <w:lang w:val="en-US" w:eastAsia="zh-CN"/>
        </w:rPr>
      </w:pPr>
      <w:r w:rsidRPr="005B0F7A">
        <w:rPr>
          <w:b/>
          <w:bCs/>
          <w:lang w:val="en-US" w:eastAsia="zh-CN"/>
        </w:rPr>
        <w:t xml:space="preserve">Figure </w:t>
      </w:r>
      <w:r w:rsidR="004312F7">
        <w:rPr>
          <w:b/>
          <w:bCs/>
          <w:lang w:val="en-US" w:eastAsia="zh-CN"/>
        </w:rPr>
        <w:t>1</w:t>
      </w:r>
      <w:r w:rsidR="002C1494">
        <w:rPr>
          <w:b/>
          <w:bCs/>
          <w:lang w:val="en-US" w:eastAsia="zh-CN"/>
        </w:rPr>
        <w:t>2</w:t>
      </w:r>
      <w:r w:rsidRPr="005B0F7A">
        <w:rPr>
          <w:b/>
          <w:bCs/>
          <w:lang w:val="en-US" w:eastAsia="zh-CN"/>
        </w:rPr>
        <w:t>: C.D.F. of Geometry SINR</w:t>
      </w:r>
    </w:p>
    <w:p w14:paraId="1D220B16" w14:textId="77777777" w:rsidR="005B0F7A" w:rsidRDefault="005B0F7A" w:rsidP="003262D0">
      <w:pPr>
        <w:pStyle w:val="0Maintext"/>
        <w:spacing w:after="120" w:afterAutospacing="0" w:line="240" w:lineRule="auto"/>
        <w:ind w:firstLine="0"/>
        <w:rPr>
          <w:lang w:val="en-US" w:eastAsia="zh-CN"/>
        </w:rPr>
        <w:sectPr w:rsidR="005B0F7A" w:rsidSect="005B0F7A">
          <w:type w:val="continuous"/>
          <w:pgSz w:w="11900" w:h="16840"/>
          <w:pgMar w:top="1440" w:right="1440" w:bottom="1440" w:left="1440" w:header="708" w:footer="708" w:gutter="0"/>
          <w:cols w:num="2" w:space="708"/>
          <w:docGrid w:linePitch="360"/>
        </w:sectPr>
      </w:pPr>
    </w:p>
    <w:p w14:paraId="6DEF8963" w14:textId="5387FA67" w:rsidR="00682EED" w:rsidRDefault="005B0F7A" w:rsidP="00AB59B7">
      <w:pPr>
        <w:pStyle w:val="0Maintext"/>
        <w:spacing w:after="120" w:afterAutospacing="0" w:line="240" w:lineRule="auto"/>
        <w:ind w:firstLine="0"/>
        <w:rPr>
          <w:lang w:val="en-US" w:eastAsia="zh-CN"/>
        </w:rPr>
      </w:pPr>
      <w:r>
        <w:rPr>
          <w:lang w:val="en-US" w:eastAsia="zh-CN"/>
        </w:rPr>
        <w:t xml:space="preserve">It can be observed that it is </w:t>
      </w:r>
      <w:r w:rsidR="00AB59B7">
        <w:rPr>
          <w:lang w:val="en-US" w:eastAsia="zh-CN"/>
        </w:rPr>
        <w:t>quite</w:t>
      </w:r>
      <w:r>
        <w:rPr>
          <w:lang w:val="en-US" w:eastAsia="zh-CN"/>
        </w:rPr>
        <w:t xml:space="preserve"> important to find out the best beam pair</w:t>
      </w:r>
      <w:r w:rsidR="00AB59B7">
        <w:rPr>
          <w:lang w:val="en-US" w:eastAsia="zh-CN"/>
        </w:rPr>
        <w:t xml:space="preserve"> to avoid potential incorrect cell selection</w:t>
      </w:r>
      <w:r w:rsidR="00682EED">
        <w:rPr>
          <w:lang w:val="en-US" w:eastAsia="zh-CN"/>
        </w:rPr>
        <w:t>, since incorrect gNB-UE beam pair would result in incorrect cell selection.</w:t>
      </w:r>
      <w:r w:rsidR="0086391A">
        <w:rPr>
          <w:lang w:val="en-US" w:eastAsia="zh-CN"/>
        </w:rPr>
        <w:t xml:space="preserve"> </w:t>
      </w:r>
    </w:p>
    <w:p w14:paraId="229E3137" w14:textId="39B68383" w:rsidR="0094095E" w:rsidRPr="0094095E" w:rsidRDefault="0094095E" w:rsidP="00AB59B7">
      <w:pPr>
        <w:pStyle w:val="0Maintext"/>
        <w:spacing w:after="120" w:afterAutospacing="0" w:line="240" w:lineRule="auto"/>
        <w:ind w:firstLine="0"/>
        <w:rPr>
          <w:b/>
          <w:bCs/>
          <w:lang w:val="en-US" w:eastAsia="zh-CN"/>
        </w:rPr>
      </w:pPr>
      <w:r w:rsidRPr="0094095E">
        <w:rPr>
          <w:b/>
          <w:bCs/>
          <w:lang w:val="en-US" w:eastAsia="zh-CN"/>
        </w:rPr>
        <w:t>Observation 1: Incorrect gNB-UE beam pair would lead to incorrect cell selection.</w:t>
      </w:r>
    </w:p>
    <w:p w14:paraId="6E7FB404" w14:textId="6EA84493" w:rsidR="0094095E" w:rsidRPr="0094095E" w:rsidRDefault="0094095E" w:rsidP="0094095E">
      <w:pPr>
        <w:pStyle w:val="Heading2"/>
      </w:pPr>
      <w:r>
        <w:t>Beam Tracking Latency Reduction Schemes</w:t>
      </w:r>
    </w:p>
    <w:p w14:paraId="66D05573" w14:textId="29E00851" w:rsidR="00682EED" w:rsidRDefault="00682EED" w:rsidP="00AB59B7">
      <w:pPr>
        <w:pStyle w:val="0Maintext"/>
        <w:spacing w:after="120" w:afterAutospacing="0" w:line="240" w:lineRule="auto"/>
        <w:ind w:firstLine="0"/>
        <w:rPr>
          <w:lang w:val="en-US" w:eastAsia="zh-CN"/>
        </w:rPr>
      </w:pPr>
      <w:r>
        <w:rPr>
          <w:lang w:val="en-US" w:eastAsia="zh-CN"/>
        </w:rPr>
        <w:t>Currently there can be the following options to support beam management.</w:t>
      </w:r>
    </w:p>
    <w:p w14:paraId="61488083" w14:textId="6B6B8188" w:rsidR="00682EED" w:rsidRDefault="00682EED" w:rsidP="00682EED">
      <w:pPr>
        <w:pStyle w:val="0Maintext"/>
        <w:numPr>
          <w:ilvl w:val="0"/>
          <w:numId w:val="16"/>
        </w:numPr>
        <w:spacing w:after="120" w:afterAutospacing="0" w:line="240" w:lineRule="auto"/>
        <w:rPr>
          <w:lang w:val="en-US" w:eastAsia="zh-CN"/>
        </w:rPr>
      </w:pPr>
      <w:r>
        <w:rPr>
          <w:lang w:val="en-US" w:eastAsia="zh-CN"/>
        </w:rPr>
        <w:t>Option 1: SSB only based beam management</w:t>
      </w:r>
    </w:p>
    <w:p w14:paraId="16553FA9" w14:textId="7973F03C" w:rsidR="00682EED" w:rsidRDefault="00682EED" w:rsidP="00682EED">
      <w:pPr>
        <w:pStyle w:val="0Maintext"/>
        <w:numPr>
          <w:ilvl w:val="0"/>
          <w:numId w:val="16"/>
        </w:numPr>
        <w:spacing w:after="120" w:afterAutospacing="0" w:line="240" w:lineRule="auto"/>
        <w:rPr>
          <w:lang w:val="en-US" w:eastAsia="zh-CN"/>
        </w:rPr>
      </w:pPr>
      <w:r>
        <w:rPr>
          <w:lang w:val="en-US" w:eastAsia="zh-CN"/>
        </w:rPr>
        <w:t>Option 2: CSI-RS only based beam management</w:t>
      </w:r>
    </w:p>
    <w:p w14:paraId="6FD432A4" w14:textId="011069F1" w:rsidR="00682EED" w:rsidRDefault="00682EED" w:rsidP="00682EED">
      <w:pPr>
        <w:pStyle w:val="0Maintext"/>
        <w:numPr>
          <w:ilvl w:val="0"/>
          <w:numId w:val="16"/>
        </w:numPr>
        <w:spacing w:after="120" w:afterAutospacing="0" w:line="240" w:lineRule="auto"/>
        <w:rPr>
          <w:lang w:val="en-US" w:eastAsia="zh-CN"/>
        </w:rPr>
      </w:pPr>
      <w:r>
        <w:rPr>
          <w:lang w:val="en-US" w:eastAsia="zh-CN"/>
        </w:rPr>
        <w:t>Option 3: SSB+CSI-RS based beam management</w:t>
      </w:r>
    </w:p>
    <w:p w14:paraId="24C13A26" w14:textId="1886DB13" w:rsidR="00F52ED3" w:rsidRPr="00F52ED3" w:rsidRDefault="00F52ED3" w:rsidP="00AB59B7">
      <w:pPr>
        <w:pStyle w:val="0Maintext"/>
        <w:spacing w:after="120" w:afterAutospacing="0" w:line="240" w:lineRule="auto"/>
        <w:ind w:firstLine="0"/>
        <w:rPr>
          <w:i/>
          <w:iCs/>
          <w:u w:val="single"/>
          <w:lang w:val="en-US" w:eastAsia="zh-CN"/>
        </w:rPr>
      </w:pPr>
      <w:r w:rsidRPr="00F52ED3">
        <w:rPr>
          <w:i/>
          <w:iCs/>
          <w:u w:val="single"/>
          <w:lang w:val="en-US" w:eastAsia="zh-CN"/>
        </w:rPr>
        <w:t>SSB based beam management</w:t>
      </w:r>
    </w:p>
    <w:p w14:paraId="3E72CCCD" w14:textId="63E893D1" w:rsidR="00682EED" w:rsidRDefault="00F52ED3" w:rsidP="003262D0">
      <w:pPr>
        <w:pStyle w:val="0Maintext"/>
        <w:spacing w:after="120" w:afterAutospacing="0" w:line="240" w:lineRule="auto"/>
        <w:ind w:firstLine="0"/>
        <w:rPr>
          <w:lang w:val="en-US" w:eastAsia="zh-CN"/>
        </w:rPr>
      </w:pPr>
      <w:r>
        <w:rPr>
          <w:lang w:val="en-US" w:eastAsia="zh-CN"/>
        </w:rPr>
        <w:t xml:space="preserve">To find out the best beam pair, </w:t>
      </w:r>
      <w:r w:rsidR="00AB59B7">
        <w:rPr>
          <w:lang w:val="en-US" w:eastAsia="zh-CN"/>
        </w:rPr>
        <w:t xml:space="preserve">UE </w:t>
      </w:r>
      <w:r>
        <w:rPr>
          <w:lang w:val="en-US" w:eastAsia="zh-CN"/>
        </w:rPr>
        <w:t xml:space="preserve">may </w:t>
      </w:r>
      <w:r w:rsidR="00AB59B7">
        <w:rPr>
          <w:lang w:val="en-US" w:eastAsia="zh-CN"/>
        </w:rPr>
        <w:t>need to try N</w:t>
      </w:r>
      <w:r w:rsidR="00AB59B7" w:rsidRPr="00AB59B7">
        <w:rPr>
          <w:vertAlign w:val="subscript"/>
          <w:lang w:val="en-US" w:eastAsia="zh-CN"/>
        </w:rPr>
        <w:t>Tx</w:t>
      </w:r>
      <w:r w:rsidR="00AB59B7">
        <w:rPr>
          <w:lang w:val="en-US" w:eastAsia="zh-CN"/>
        </w:rPr>
        <w:t>*N</w:t>
      </w:r>
      <w:r w:rsidR="00AB59B7" w:rsidRPr="00AB59B7">
        <w:rPr>
          <w:vertAlign w:val="subscript"/>
          <w:lang w:val="en-US" w:eastAsia="zh-CN"/>
        </w:rPr>
        <w:t>Rx</w:t>
      </w:r>
      <w:r w:rsidR="00AB59B7">
        <w:rPr>
          <w:lang w:val="en-US" w:eastAsia="zh-CN"/>
        </w:rPr>
        <w:t xml:space="preserve"> SSB</w:t>
      </w:r>
      <w:r>
        <w:rPr>
          <w:lang w:val="en-US" w:eastAsia="zh-CN"/>
        </w:rPr>
        <w:t>s or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/K SSBs, where K indicates the number of beams to be applied for a SSB</w:t>
      </w:r>
      <w:r w:rsidR="00AB59B7">
        <w:rPr>
          <w:lang w:val="en-US" w:eastAsia="zh-CN"/>
        </w:rPr>
        <w:t>.</w:t>
      </w:r>
      <w:r w:rsidR="00682EED">
        <w:rPr>
          <w:lang w:val="en-US" w:eastAsia="zh-CN"/>
        </w:rPr>
        <w:t xml:space="preserve"> UE has no QCL information of SSB. Thus</w:t>
      </w:r>
      <w:r>
        <w:rPr>
          <w:lang w:val="en-US" w:eastAsia="zh-CN"/>
        </w:rPr>
        <w:t>,</w:t>
      </w:r>
      <w:r w:rsidR="00682EED">
        <w:rPr>
          <w:lang w:val="en-US" w:eastAsia="zh-CN"/>
        </w:rPr>
        <w:t xml:space="preserve"> UE has to blindly tried the beam tracking loop for each SSB individually. </w:t>
      </w:r>
      <w:r>
        <w:rPr>
          <w:lang w:val="en-US" w:eastAsia="zh-CN"/>
        </w:rPr>
        <w:t>O</w:t>
      </w:r>
      <w:r w:rsidR="00682EED">
        <w:rPr>
          <w:lang w:val="en-US" w:eastAsia="zh-CN"/>
        </w:rPr>
        <w:t xml:space="preserve">ne possible enhancement is to let UE aware some QCL </w:t>
      </w:r>
      <w:r w:rsidR="00682EED">
        <w:rPr>
          <w:lang w:val="en-US" w:eastAsia="zh-CN"/>
        </w:rPr>
        <w:lastRenderedPageBreak/>
        <w:t xml:space="preserve">information for SSBs. </w:t>
      </w:r>
      <w:r>
        <w:rPr>
          <w:lang w:val="en-US" w:eastAsia="zh-CN"/>
        </w:rPr>
        <w:t xml:space="preserve">Then UE can try Rx beam sweeping across SSBs. </w:t>
      </w:r>
      <w:r w:rsidR="00682EED">
        <w:rPr>
          <w:lang w:val="en-US" w:eastAsia="zh-CN"/>
        </w:rPr>
        <w:t xml:space="preserve">This </w:t>
      </w:r>
      <w:r>
        <w:rPr>
          <w:lang w:val="en-US" w:eastAsia="zh-CN"/>
        </w:rPr>
        <w:t>may</w:t>
      </w:r>
      <w:r w:rsidR="00682EED">
        <w:rPr>
          <w:lang w:val="en-US" w:eastAsia="zh-CN"/>
        </w:rPr>
        <w:t xml:space="preserve"> not </w:t>
      </w:r>
      <w:r>
        <w:rPr>
          <w:lang w:val="en-US" w:eastAsia="zh-CN"/>
        </w:rPr>
        <w:t>be helpful for</w:t>
      </w:r>
      <w:r w:rsidR="00682EED">
        <w:rPr>
          <w:lang w:val="en-US" w:eastAsia="zh-CN"/>
        </w:rPr>
        <w:t xml:space="preserve"> initial access procedure, but it could help to accelerate the beam acquisition </w:t>
      </w:r>
      <w:r>
        <w:rPr>
          <w:lang w:val="en-US" w:eastAsia="zh-CN"/>
        </w:rPr>
        <w:t>procedure for</w:t>
      </w:r>
      <w:r w:rsidR="00682EED">
        <w:rPr>
          <w:lang w:val="en-US" w:eastAsia="zh-CN"/>
        </w:rPr>
        <w:t xml:space="preserve"> intra-cell/inter-cell mobility. </w:t>
      </w:r>
    </w:p>
    <w:p w14:paraId="7FF55609" w14:textId="4B17BC82" w:rsidR="00F52ED3" w:rsidRDefault="00F52ED3" w:rsidP="003262D0">
      <w:pPr>
        <w:pStyle w:val="0Maintext"/>
        <w:spacing w:after="120" w:afterAutospacing="0" w:line="240" w:lineRule="auto"/>
        <w:ind w:firstLine="0"/>
        <w:rPr>
          <w:lang w:val="en-US" w:eastAsia="zh-CN"/>
        </w:rPr>
      </w:pPr>
      <w:r>
        <w:rPr>
          <w:lang w:val="en-US" w:eastAsia="zh-CN"/>
        </w:rPr>
        <w:t>For example, a</w:t>
      </w:r>
      <w:r w:rsidR="0086391A">
        <w:rPr>
          <w:lang w:val="en-US" w:eastAsia="zh-CN"/>
        </w:rPr>
        <w:t xml:space="preserve">s shown in Figure </w:t>
      </w:r>
      <w:r w:rsidR="0094095E">
        <w:rPr>
          <w:lang w:val="en-US" w:eastAsia="zh-CN"/>
        </w:rPr>
        <w:t>1</w:t>
      </w:r>
      <w:r w:rsidR="002C1494">
        <w:rPr>
          <w:lang w:val="en-US" w:eastAsia="zh-CN"/>
        </w:rPr>
        <w:t>3</w:t>
      </w:r>
      <w:r w:rsidR="00682EED">
        <w:rPr>
          <w:lang w:val="en-US" w:eastAsia="zh-CN"/>
        </w:rPr>
        <w:t>,</w:t>
      </w:r>
      <w:r w:rsidR="0086391A">
        <w:rPr>
          <w:lang w:val="en-US" w:eastAsia="zh-CN"/>
        </w:rPr>
        <w:t xml:space="preserve"> </w:t>
      </w:r>
      <w:r>
        <w:rPr>
          <w:lang w:val="en-US" w:eastAsia="zh-CN"/>
        </w:rPr>
        <w:t>given there are 10 SSBs in the system, and gNB can try to divide the SSBs into 3 groups based on the spatial correlation. Then UE can try Rx beam sweeping for SSBs within a group. After UE find out the best SSB group, UE can start to use local beam sweeping to find out the best UE beam for each SSB within a group. Then UE can get the best gNB-UE beam pairs.</w:t>
      </w:r>
      <w:r w:rsidR="00BC38C5">
        <w:rPr>
          <w:lang w:val="en-US" w:eastAsia="zh-CN"/>
        </w:rPr>
        <w:t xml:space="preserve"> </w:t>
      </w:r>
    </w:p>
    <w:p w14:paraId="7E8C1E19" w14:textId="26598C51" w:rsidR="0086391A" w:rsidRDefault="00BC38C5" w:rsidP="008C2187">
      <w:pPr>
        <w:pStyle w:val="0Maintext"/>
        <w:spacing w:after="120" w:afterAutospacing="0" w:line="240" w:lineRule="auto"/>
        <w:ind w:firstLine="0"/>
        <w:jc w:val="center"/>
        <w:rPr>
          <w:lang w:val="en-US" w:eastAsia="zh-CN"/>
        </w:rPr>
      </w:pPr>
      <w:r w:rsidRPr="00BC38C5">
        <w:rPr>
          <w:noProof/>
          <w:lang w:val="en-US" w:eastAsia="zh-CN"/>
        </w:rPr>
        <w:drawing>
          <wp:inline distT="0" distB="0" distL="0" distR="0" wp14:anchorId="5468C688" wp14:editId="101F36D2">
            <wp:extent cx="4269545" cy="2032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07127" cy="2049944"/>
                    </a:xfrm>
                    <a:prstGeom prst="rect">
                      <a:avLst/>
                    </a:prstGeom>
                  </pic:spPr>
                </pic:pic>
              </a:graphicData>
            </a:graphic>
          </wp:inline>
        </w:drawing>
      </w:r>
    </w:p>
    <w:p w14:paraId="28C2BDA4" w14:textId="71EE8B60" w:rsidR="0086391A" w:rsidRPr="0086391A" w:rsidRDefault="0086391A" w:rsidP="0086391A">
      <w:pPr>
        <w:pStyle w:val="0Maintext"/>
        <w:spacing w:after="120" w:afterAutospacing="0" w:line="240" w:lineRule="auto"/>
        <w:ind w:firstLine="0"/>
        <w:jc w:val="center"/>
        <w:rPr>
          <w:b/>
          <w:bCs/>
          <w:lang w:val="en-US" w:eastAsia="zh-CN"/>
        </w:rPr>
      </w:pPr>
      <w:r w:rsidRPr="0086391A">
        <w:rPr>
          <w:b/>
          <w:bCs/>
          <w:lang w:val="en-US" w:eastAsia="zh-CN"/>
        </w:rPr>
        <w:t xml:space="preserve">Figure </w:t>
      </w:r>
      <w:r w:rsidR="0094095E">
        <w:rPr>
          <w:b/>
          <w:bCs/>
          <w:lang w:val="en-US" w:eastAsia="zh-CN"/>
        </w:rPr>
        <w:t>1</w:t>
      </w:r>
      <w:r w:rsidR="002C1494">
        <w:rPr>
          <w:b/>
          <w:bCs/>
          <w:lang w:val="en-US" w:eastAsia="zh-CN"/>
        </w:rPr>
        <w:t>3</w:t>
      </w:r>
      <w:r w:rsidRPr="0086391A">
        <w:rPr>
          <w:b/>
          <w:bCs/>
          <w:lang w:val="en-US" w:eastAsia="zh-CN"/>
        </w:rPr>
        <w:t xml:space="preserve">: </w:t>
      </w:r>
      <w:r w:rsidR="00BC38C5">
        <w:rPr>
          <w:b/>
          <w:bCs/>
          <w:lang w:val="en-US" w:eastAsia="zh-CN"/>
        </w:rPr>
        <w:t>SSB based beam selection with SSB grouping</w:t>
      </w:r>
    </w:p>
    <w:p w14:paraId="41E16595" w14:textId="79F631DF" w:rsidR="00BC38C5" w:rsidRDefault="00BC38C5" w:rsidP="003262D0">
      <w:pPr>
        <w:pStyle w:val="0Maintext"/>
        <w:spacing w:after="120" w:afterAutospacing="0" w:line="240" w:lineRule="auto"/>
        <w:ind w:firstLine="0"/>
        <w:rPr>
          <w:lang w:val="en-US" w:eastAsia="zh-CN"/>
        </w:rPr>
      </w:pPr>
      <w:r>
        <w:rPr>
          <w:lang w:val="en-US" w:eastAsia="zh-CN"/>
        </w:rPr>
        <w:t>In addition, cross-CC beam selection can also help to reduce the beam selection latenc</w:t>
      </w:r>
      <w:r w:rsidR="007740EF">
        <w:rPr>
          <w:lang w:val="en-US" w:eastAsia="zh-CN"/>
        </w:rPr>
        <w:t xml:space="preserve">y as shown in Figure </w:t>
      </w:r>
      <w:r w:rsidR="0094095E">
        <w:rPr>
          <w:lang w:val="en-US" w:eastAsia="zh-CN"/>
        </w:rPr>
        <w:t>1</w:t>
      </w:r>
      <w:r w:rsidR="002C1494">
        <w:rPr>
          <w:lang w:val="en-US" w:eastAsia="zh-CN"/>
        </w:rPr>
        <w:t>4</w:t>
      </w:r>
      <w:r>
        <w:rPr>
          <w:rFonts w:hint="eastAsia"/>
          <w:lang w:val="en-US" w:eastAsia="zh-CN"/>
        </w:rPr>
        <w:t>.</w:t>
      </w:r>
      <w:r>
        <w:rPr>
          <w:lang w:val="en-US" w:eastAsia="zh-CN"/>
        </w:rPr>
        <w:t xml:space="preserve"> If gNB can </w:t>
      </w:r>
      <w:r w:rsidR="008C009A">
        <w:rPr>
          <w:lang w:val="en-US" w:eastAsia="zh-CN"/>
        </w:rPr>
        <w:t>inform</w:t>
      </w:r>
      <w:r>
        <w:rPr>
          <w:lang w:val="en-US" w:eastAsia="zh-CN"/>
        </w:rPr>
        <w:t xml:space="preserve"> UE which SSBs from multiple CCs share the same beam, </w:t>
      </w:r>
      <w:r w:rsidR="008C009A">
        <w:rPr>
          <w:lang w:val="en-US" w:eastAsia="zh-CN"/>
        </w:rPr>
        <w:t>it</w:t>
      </w:r>
      <w:r>
        <w:rPr>
          <w:lang w:val="en-US" w:eastAsia="zh-CN"/>
        </w:rPr>
        <w:t xml:space="preserve"> could help to reduce the beam selection latency</w:t>
      </w:r>
      <w:r w:rsidR="008C009A">
        <w:rPr>
          <w:lang w:val="en-US" w:eastAsia="zh-CN"/>
        </w:rPr>
        <w:t xml:space="preserve"> as well, since UE can try a beam tracking loop for SSBs across CC</w:t>
      </w:r>
      <w:r>
        <w:rPr>
          <w:lang w:val="en-US" w:eastAsia="zh-CN"/>
        </w:rPr>
        <w:t>.</w:t>
      </w:r>
      <w:r w:rsidR="008C009A">
        <w:rPr>
          <w:lang w:val="en-US" w:eastAsia="zh-CN"/>
        </w:rPr>
        <w:t xml:space="preserve"> So</w:t>
      </w:r>
      <w:r w:rsidR="007740EF">
        <w:rPr>
          <w:lang w:val="en-US" w:eastAsia="zh-CN"/>
        </w:rPr>
        <w:t>,</w:t>
      </w:r>
      <w:r w:rsidR="008C009A">
        <w:rPr>
          <w:lang w:val="en-US" w:eastAsia="zh-CN"/>
        </w:rPr>
        <w:t xml:space="preserve"> in general, to speed up the beam acquisition based on SSB, the general way is to include multiple SSBs in a beam tracking loop.</w:t>
      </w:r>
    </w:p>
    <w:p w14:paraId="2E6AF59A" w14:textId="0C1B037E" w:rsidR="007740EF" w:rsidRDefault="007740EF" w:rsidP="007740EF">
      <w:pPr>
        <w:pStyle w:val="0Maintext"/>
        <w:spacing w:after="120" w:afterAutospacing="0" w:line="240" w:lineRule="auto"/>
        <w:ind w:firstLine="0"/>
        <w:jc w:val="center"/>
        <w:rPr>
          <w:lang w:val="en-US" w:eastAsia="zh-CN"/>
        </w:rPr>
      </w:pPr>
      <w:r w:rsidRPr="007740EF">
        <w:rPr>
          <w:noProof/>
          <w:lang w:val="en-US" w:eastAsia="zh-CN"/>
        </w:rPr>
        <w:drawing>
          <wp:inline distT="0" distB="0" distL="0" distR="0" wp14:anchorId="0361B060" wp14:editId="43EDF43E">
            <wp:extent cx="5727700" cy="1192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27700" cy="1192530"/>
                    </a:xfrm>
                    <a:prstGeom prst="rect">
                      <a:avLst/>
                    </a:prstGeom>
                  </pic:spPr>
                </pic:pic>
              </a:graphicData>
            </a:graphic>
          </wp:inline>
        </w:drawing>
      </w:r>
    </w:p>
    <w:p w14:paraId="7B5EFEF2" w14:textId="033C6AF2" w:rsidR="007740EF" w:rsidRPr="007740EF" w:rsidRDefault="007740EF" w:rsidP="007740EF">
      <w:pPr>
        <w:pStyle w:val="0Maintext"/>
        <w:spacing w:after="120" w:afterAutospacing="0" w:line="240" w:lineRule="auto"/>
        <w:ind w:firstLine="0"/>
        <w:jc w:val="center"/>
        <w:rPr>
          <w:b/>
          <w:bCs/>
          <w:lang w:val="en-US" w:eastAsia="zh-CN"/>
        </w:rPr>
      </w:pPr>
      <w:r w:rsidRPr="007740EF">
        <w:rPr>
          <w:b/>
          <w:bCs/>
          <w:lang w:val="en-US" w:eastAsia="zh-CN"/>
        </w:rPr>
        <w:t xml:space="preserve">Figure </w:t>
      </w:r>
      <w:r w:rsidR="0094095E">
        <w:rPr>
          <w:b/>
          <w:bCs/>
          <w:lang w:val="en-US" w:eastAsia="zh-CN"/>
        </w:rPr>
        <w:t>1</w:t>
      </w:r>
      <w:r w:rsidR="002C1494">
        <w:rPr>
          <w:b/>
          <w:bCs/>
          <w:lang w:val="en-US" w:eastAsia="zh-CN"/>
        </w:rPr>
        <w:t>4</w:t>
      </w:r>
      <w:r w:rsidRPr="007740EF">
        <w:rPr>
          <w:b/>
          <w:bCs/>
          <w:lang w:val="en-US" w:eastAsia="zh-CN"/>
        </w:rPr>
        <w:t>: Cross-CC joint beam tracking</w:t>
      </w:r>
    </w:p>
    <w:p w14:paraId="41921CF7" w14:textId="6082FE06" w:rsidR="008C009A" w:rsidRPr="008C009A" w:rsidRDefault="008C009A" w:rsidP="003262D0">
      <w:pPr>
        <w:pStyle w:val="0Maintext"/>
        <w:spacing w:after="120" w:afterAutospacing="0" w:line="240" w:lineRule="auto"/>
        <w:ind w:firstLine="0"/>
        <w:rPr>
          <w:b/>
          <w:bCs/>
          <w:i/>
          <w:iCs/>
          <w:lang w:val="en-US" w:eastAsia="zh-CN"/>
        </w:rPr>
      </w:pPr>
      <w:r w:rsidRPr="008C009A">
        <w:rPr>
          <w:b/>
          <w:bCs/>
          <w:i/>
          <w:iCs/>
          <w:lang w:val="en-US" w:eastAsia="zh-CN"/>
        </w:rPr>
        <w:t>Proposal 1</w:t>
      </w:r>
      <w:r w:rsidR="00F302FE">
        <w:rPr>
          <w:b/>
          <w:bCs/>
          <w:i/>
          <w:iCs/>
          <w:lang w:val="en-US" w:eastAsia="zh-CN"/>
        </w:rPr>
        <w:t>7</w:t>
      </w:r>
      <w:r w:rsidRPr="008C009A">
        <w:rPr>
          <w:b/>
          <w:bCs/>
          <w:i/>
          <w:iCs/>
          <w:lang w:val="en-US" w:eastAsia="zh-CN"/>
        </w:rPr>
        <w:t xml:space="preserve">: To speed up beam acquisition, RAN1 should </w:t>
      </w:r>
      <w:r w:rsidR="000E2519">
        <w:rPr>
          <w:b/>
          <w:bCs/>
          <w:i/>
          <w:iCs/>
          <w:lang w:val="en-US" w:eastAsia="zh-CN"/>
        </w:rPr>
        <w:t>introduce</w:t>
      </w:r>
      <w:r w:rsidRPr="008C009A">
        <w:rPr>
          <w:b/>
          <w:bCs/>
          <w:i/>
          <w:iCs/>
          <w:lang w:val="en-US" w:eastAsia="zh-CN"/>
        </w:rPr>
        <w:t xml:space="preserve"> schemes to include more than one SSBs in a UE beam tracking loop.</w:t>
      </w:r>
    </w:p>
    <w:p w14:paraId="01DBABFF" w14:textId="23E17A59" w:rsidR="008C009A" w:rsidRPr="008C009A" w:rsidRDefault="008C009A" w:rsidP="008C009A">
      <w:pPr>
        <w:pStyle w:val="0Maintext"/>
        <w:numPr>
          <w:ilvl w:val="0"/>
          <w:numId w:val="23"/>
        </w:numPr>
        <w:spacing w:after="120" w:afterAutospacing="0" w:line="240" w:lineRule="auto"/>
        <w:rPr>
          <w:b/>
          <w:bCs/>
          <w:i/>
          <w:iCs/>
          <w:lang w:val="en-US" w:eastAsia="zh-CN"/>
        </w:rPr>
      </w:pPr>
      <w:r w:rsidRPr="008C009A">
        <w:rPr>
          <w:b/>
          <w:bCs/>
          <w:i/>
          <w:iCs/>
          <w:lang w:val="en-US" w:eastAsia="zh-CN"/>
        </w:rPr>
        <w:t>As a starting point, RAN1 can study schemes for gNB to provide some QCL information for SSBs within a CC and across CCs</w:t>
      </w:r>
    </w:p>
    <w:p w14:paraId="789DD888" w14:textId="5A88C0A8" w:rsidR="008C009A" w:rsidRPr="008C009A" w:rsidRDefault="008C009A" w:rsidP="003262D0">
      <w:pPr>
        <w:pStyle w:val="0Maintext"/>
        <w:spacing w:after="120" w:afterAutospacing="0" w:line="240" w:lineRule="auto"/>
        <w:ind w:firstLine="0"/>
        <w:rPr>
          <w:i/>
          <w:iCs/>
          <w:u w:val="single"/>
          <w:lang w:val="en-US" w:eastAsia="zh-CN"/>
        </w:rPr>
      </w:pPr>
      <w:r w:rsidRPr="008C009A">
        <w:rPr>
          <w:i/>
          <w:iCs/>
          <w:u w:val="single"/>
          <w:lang w:val="en-US" w:eastAsia="zh-CN"/>
        </w:rPr>
        <w:t>CSI-RS based beam management</w:t>
      </w:r>
    </w:p>
    <w:p w14:paraId="58C3DBD9" w14:textId="49167C3C" w:rsidR="004C7036" w:rsidRDefault="004C7036" w:rsidP="003262D0">
      <w:pPr>
        <w:pStyle w:val="0Maintext"/>
        <w:spacing w:after="120" w:afterAutospacing="0" w:line="240" w:lineRule="auto"/>
        <w:ind w:firstLine="0"/>
        <w:rPr>
          <w:lang w:val="en-US" w:eastAsia="zh-CN"/>
        </w:rPr>
      </w:pPr>
      <w:r>
        <w:rPr>
          <w:lang w:val="en-US" w:eastAsia="zh-CN"/>
        </w:rPr>
        <w:t xml:space="preserve">UE can try joint P2/P3 to reduce the beam selection overhead. To support joint P2/P3 beam management procedure, one possible way is to configure multiple sets of CSI-RS in a CSI-reportConfig, where each resource set is configured with repetition = ‘on’. </w:t>
      </w:r>
      <w:r w:rsidR="0081070A">
        <w:rPr>
          <w:lang w:val="en-US" w:eastAsia="zh-CN"/>
        </w:rPr>
        <w:t>T</w:t>
      </w:r>
      <w:r>
        <w:rPr>
          <w:lang w:val="en-US" w:eastAsia="zh-CN"/>
        </w:rPr>
        <w:t>his would increase the report overhead</w:t>
      </w:r>
      <w:r w:rsidR="007740EF">
        <w:rPr>
          <w:lang w:val="en-US" w:eastAsia="zh-CN"/>
        </w:rPr>
        <w:t xml:space="preserve"> and signaling complexity based on current CSI framework</w:t>
      </w:r>
      <w:r>
        <w:rPr>
          <w:lang w:val="en-US" w:eastAsia="zh-CN"/>
        </w:rPr>
        <w:t>, as UE needs to report CRI from multiple</w:t>
      </w:r>
      <w:r w:rsidR="0081070A">
        <w:rPr>
          <w:lang w:val="en-US" w:eastAsia="zh-CN"/>
        </w:rPr>
        <w:t xml:space="preserve"> resources. </w:t>
      </w:r>
      <w:r w:rsidR="007740EF">
        <w:rPr>
          <w:lang w:val="en-US" w:eastAsia="zh-CN"/>
        </w:rPr>
        <w:t>Another possible way is to transmit a multi-symbol CSI-RS, where UE can apply different UE beams in different symbols to support joint P2/P3 beam selection.</w:t>
      </w:r>
    </w:p>
    <w:p w14:paraId="54D048B8" w14:textId="3A06E667" w:rsidR="000E2519" w:rsidRPr="000E2519" w:rsidRDefault="000E2519" w:rsidP="003262D0">
      <w:pPr>
        <w:pStyle w:val="0Maintext"/>
        <w:spacing w:after="120" w:afterAutospacing="0" w:line="240" w:lineRule="auto"/>
        <w:ind w:firstLine="0"/>
        <w:rPr>
          <w:b/>
          <w:bCs/>
          <w:i/>
          <w:iCs/>
          <w:lang w:val="en-US" w:eastAsia="zh-CN"/>
        </w:rPr>
      </w:pPr>
      <w:r>
        <w:rPr>
          <w:b/>
          <w:bCs/>
          <w:i/>
          <w:iCs/>
          <w:lang w:val="en-US" w:eastAsia="zh-CN"/>
        </w:rPr>
        <w:t xml:space="preserve">Proposal </w:t>
      </w:r>
      <w:r w:rsidR="00F302FE">
        <w:rPr>
          <w:b/>
          <w:bCs/>
          <w:i/>
          <w:iCs/>
          <w:lang w:val="en-US" w:eastAsia="zh-CN"/>
        </w:rPr>
        <w:t>18</w:t>
      </w:r>
      <w:r>
        <w:rPr>
          <w:b/>
          <w:bCs/>
          <w:i/>
          <w:iCs/>
          <w:lang w:val="en-US" w:eastAsia="zh-CN"/>
        </w:rPr>
        <w:t>: For overhead and latency reduction, support 1 CSI-RS resource to be transmitted in multiple symbol to facilitate joint P2/P3 beam management.</w:t>
      </w:r>
    </w:p>
    <w:p w14:paraId="204CD2E7" w14:textId="01F166C0" w:rsidR="000E2519" w:rsidRPr="000E2519" w:rsidRDefault="000E2519" w:rsidP="003262D0">
      <w:pPr>
        <w:pStyle w:val="0Maintext"/>
        <w:spacing w:after="120" w:afterAutospacing="0" w:line="240" w:lineRule="auto"/>
        <w:ind w:firstLine="0"/>
        <w:rPr>
          <w:i/>
          <w:iCs/>
          <w:u w:val="single"/>
          <w:lang w:val="en-US" w:eastAsia="zh-CN"/>
        </w:rPr>
      </w:pPr>
      <w:r w:rsidRPr="000E2519">
        <w:rPr>
          <w:i/>
          <w:iCs/>
          <w:u w:val="single"/>
          <w:lang w:val="en-US" w:eastAsia="zh-CN"/>
        </w:rPr>
        <w:t xml:space="preserve">Joint SSB/CSI-RS beam </w:t>
      </w:r>
      <w:r>
        <w:rPr>
          <w:i/>
          <w:iCs/>
          <w:u w:val="single"/>
          <w:lang w:val="en-US" w:eastAsia="zh-CN"/>
        </w:rPr>
        <w:t>management</w:t>
      </w:r>
    </w:p>
    <w:p w14:paraId="4477F99C" w14:textId="7AC70F67" w:rsidR="00962EC6" w:rsidRDefault="000E2519" w:rsidP="003262D0">
      <w:pPr>
        <w:pStyle w:val="0Maintext"/>
        <w:spacing w:after="120" w:afterAutospacing="0" w:line="240" w:lineRule="auto"/>
        <w:ind w:firstLine="0"/>
        <w:rPr>
          <w:lang w:val="en-US" w:eastAsia="zh-CN"/>
        </w:rPr>
      </w:pPr>
      <w:r>
        <w:rPr>
          <w:lang w:val="en-US" w:eastAsia="zh-CN"/>
        </w:rPr>
        <w:t>Joint SSB/CSI-RS beam management is one way to introduce multiple reference signals in a beam tracking loop. In principle, the more reference signals in a beam tracking loop, the less latency would be required to find out the best gNB-UE beam pair. However current QCL definition would introduce some problems for UE to track multiple reference signals in a beam tracking loop. The most restrict QCL definition is QCL-typeA + QCL-typeD. However, it is still possible that gNB can apply a wide beam for one BM-RS and a narrow beam for another BM-</w:t>
      </w:r>
      <w:r>
        <w:rPr>
          <w:lang w:val="en-US" w:eastAsia="zh-CN"/>
        </w:rPr>
        <w:lastRenderedPageBreak/>
        <w:t>RS. The best UE beam for the two BM-RSs could still be different. Another possible implementation is that gNB can apply the same beam for both BM-RS. But as a result of this uncertainty, UE cannot consider both BM-</w:t>
      </w:r>
      <w:r w:rsidR="00962EC6">
        <w:rPr>
          <w:lang w:val="en-US" w:eastAsia="zh-CN"/>
        </w:rPr>
        <w:t>RSs should</w:t>
      </w:r>
      <w:r>
        <w:rPr>
          <w:lang w:val="en-US" w:eastAsia="zh-CN"/>
        </w:rPr>
        <w:t xml:space="preserve"> be in a beam tracking loop.</w:t>
      </w:r>
      <w:r w:rsidR="00962EC6">
        <w:rPr>
          <w:lang w:val="en-US" w:eastAsia="zh-CN"/>
        </w:rPr>
        <w:t xml:space="preserve"> Thus, to introduce a new QCL type indication to support joint tracking from multiple BM-RSs could help to reduce the beam tracking latency.</w:t>
      </w:r>
    </w:p>
    <w:p w14:paraId="0AB4C0A4" w14:textId="784E927C" w:rsidR="000E2519" w:rsidRPr="00962EC6" w:rsidRDefault="00962EC6" w:rsidP="003262D0">
      <w:pPr>
        <w:pStyle w:val="0Maintext"/>
        <w:spacing w:after="120" w:afterAutospacing="0" w:line="240" w:lineRule="auto"/>
        <w:ind w:firstLine="0"/>
        <w:rPr>
          <w:b/>
          <w:bCs/>
          <w:i/>
          <w:iCs/>
          <w:lang w:val="en-US" w:eastAsia="zh-CN"/>
        </w:rPr>
      </w:pPr>
      <w:r w:rsidRPr="00962EC6">
        <w:rPr>
          <w:b/>
          <w:bCs/>
          <w:i/>
          <w:iCs/>
          <w:lang w:val="en-US" w:eastAsia="zh-CN"/>
        </w:rPr>
        <w:t xml:space="preserve">Proposal </w:t>
      </w:r>
      <w:r w:rsidR="00F302FE">
        <w:rPr>
          <w:b/>
          <w:bCs/>
          <w:i/>
          <w:iCs/>
          <w:lang w:val="en-US" w:eastAsia="zh-CN"/>
        </w:rPr>
        <w:t>19</w:t>
      </w:r>
      <w:r w:rsidRPr="00962EC6">
        <w:rPr>
          <w:b/>
          <w:bCs/>
          <w:i/>
          <w:iCs/>
          <w:lang w:val="en-US" w:eastAsia="zh-CN"/>
        </w:rPr>
        <w:t xml:space="preserve">: RAN1 should study to introduce a new QCL type indication to let UE </w:t>
      </w:r>
      <w:r>
        <w:rPr>
          <w:b/>
          <w:bCs/>
          <w:i/>
          <w:iCs/>
          <w:lang w:val="en-US" w:eastAsia="zh-CN"/>
        </w:rPr>
        <w:t>aware that</w:t>
      </w:r>
      <w:r w:rsidRPr="00962EC6">
        <w:rPr>
          <w:b/>
          <w:bCs/>
          <w:i/>
          <w:iCs/>
          <w:lang w:val="en-US" w:eastAsia="zh-CN"/>
        </w:rPr>
        <w:t xml:space="preserve"> two BM-RSs are based on the same Tx beam.</w:t>
      </w:r>
      <w:r w:rsidR="000E2519" w:rsidRPr="00962EC6">
        <w:rPr>
          <w:b/>
          <w:bCs/>
          <w:i/>
          <w:iCs/>
          <w:lang w:val="en-US" w:eastAsia="zh-CN"/>
        </w:rPr>
        <w:t xml:space="preserve"> </w:t>
      </w:r>
    </w:p>
    <w:p w14:paraId="319B6700" w14:textId="2C7FF69F" w:rsidR="007A1F9E" w:rsidRDefault="007A1F9E" w:rsidP="007A1F9E">
      <w:pPr>
        <w:pStyle w:val="Heading1"/>
      </w:pPr>
      <w:r>
        <w:t>Conclusion</w:t>
      </w:r>
    </w:p>
    <w:p w14:paraId="493C61C7" w14:textId="1C5C39A7" w:rsidR="007A1F9E" w:rsidRDefault="007A1F9E" w:rsidP="00361704">
      <w:pPr>
        <w:pStyle w:val="0Maintext"/>
        <w:spacing w:after="120" w:afterAutospacing="0" w:line="240" w:lineRule="auto"/>
        <w:ind w:firstLine="0"/>
        <w:rPr>
          <w:lang w:val="en-US" w:eastAsia="zh-CN"/>
        </w:rPr>
      </w:pPr>
      <w:r>
        <w:rPr>
          <w:lang w:val="en-US" w:eastAsia="zh-CN"/>
        </w:rPr>
        <w:t>In this contribution, we discussed some further MIMO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61AA2B31" w14:textId="68FB7C7F" w:rsidR="00F302FE" w:rsidRPr="004704C9" w:rsidRDefault="00F302FE" w:rsidP="00F302FE">
      <w:pPr>
        <w:pStyle w:val="0Maintext"/>
        <w:spacing w:after="120" w:afterAutospacing="0" w:line="240" w:lineRule="auto"/>
        <w:ind w:firstLine="0"/>
        <w:rPr>
          <w:b/>
          <w:bCs/>
          <w:i/>
          <w:iCs/>
          <w:lang w:val="en-US" w:eastAsia="zh-CN"/>
        </w:rPr>
      </w:pPr>
      <w:r w:rsidRPr="004704C9">
        <w:rPr>
          <w:b/>
          <w:bCs/>
          <w:i/>
          <w:iCs/>
          <w:lang w:val="en-US" w:eastAsia="zh-CN"/>
        </w:rPr>
        <w:t>Proposal 1: For unified TCI framework, the downlink TCI should be applied for PDCCH and PDSCH only, where the legacy QCL rule should be reused</w:t>
      </w:r>
      <w:r w:rsidR="00081B2B">
        <w:rPr>
          <w:b/>
          <w:bCs/>
          <w:i/>
          <w:iCs/>
          <w:lang w:val="en-US" w:eastAsia="zh-CN"/>
        </w:rPr>
        <w:t xml:space="preserve"> when downlink RS is provided as QCL source</w:t>
      </w:r>
      <w:r w:rsidRPr="004704C9">
        <w:rPr>
          <w:b/>
          <w:bCs/>
          <w:i/>
          <w:iCs/>
          <w:lang w:val="en-US" w:eastAsia="zh-CN"/>
        </w:rPr>
        <w:t>.</w:t>
      </w:r>
    </w:p>
    <w:p w14:paraId="5847DA3B" w14:textId="77777777" w:rsidR="00F302FE" w:rsidRPr="004704C9" w:rsidRDefault="00F302FE" w:rsidP="00F302FE">
      <w:pPr>
        <w:pStyle w:val="0Maintext"/>
        <w:spacing w:after="120" w:afterAutospacing="0" w:line="240" w:lineRule="auto"/>
        <w:ind w:firstLine="0"/>
        <w:rPr>
          <w:b/>
          <w:bCs/>
          <w:i/>
          <w:iCs/>
          <w:lang w:val="en-US" w:eastAsia="zh-CN"/>
        </w:rPr>
      </w:pPr>
      <w:r w:rsidRPr="004704C9">
        <w:rPr>
          <w:b/>
          <w:bCs/>
          <w:i/>
          <w:iCs/>
          <w:lang w:val="en-US" w:eastAsia="zh-CN"/>
        </w:rPr>
        <w:t>Proposal 2: Support to configure SRS for BM as the source reference signal for QCL-TypeD, where a periodic downlink reference signal should be provided as the spatial relation source of the SRS.</w:t>
      </w:r>
    </w:p>
    <w:p w14:paraId="7BAA00EE" w14:textId="77777777" w:rsidR="00F302FE" w:rsidRPr="00753D11" w:rsidRDefault="00F302FE" w:rsidP="00F302FE">
      <w:pPr>
        <w:pStyle w:val="0Maintext"/>
        <w:spacing w:after="120" w:afterAutospacing="0" w:line="240" w:lineRule="auto"/>
        <w:ind w:firstLine="0"/>
        <w:rPr>
          <w:b/>
          <w:bCs/>
          <w:i/>
          <w:iCs/>
          <w:lang w:val="en-US" w:eastAsia="zh-CN"/>
        </w:rPr>
      </w:pPr>
      <w:r w:rsidRPr="00753D11">
        <w:rPr>
          <w:b/>
          <w:bCs/>
          <w:i/>
          <w:iCs/>
          <w:lang w:val="en-US" w:eastAsia="zh-CN"/>
        </w:rPr>
        <w:t>Proposal 3: Support to configure power control parameters, i.e. P0, alpha, closed-loop power control process and pathloss reference signal in the uplink TCI state</w:t>
      </w:r>
    </w:p>
    <w:p w14:paraId="01F5B357" w14:textId="2B69CCD5" w:rsidR="00FE3326" w:rsidRPr="00F302FE" w:rsidRDefault="00F302FE" w:rsidP="00F302FE">
      <w:pPr>
        <w:pStyle w:val="0Maintext"/>
        <w:numPr>
          <w:ilvl w:val="0"/>
          <w:numId w:val="46"/>
        </w:numPr>
        <w:spacing w:after="120" w:afterAutospacing="0" w:line="240" w:lineRule="auto"/>
        <w:rPr>
          <w:b/>
          <w:bCs/>
          <w:i/>
          <w:iCs/>
          <w:lang w:val="en-US" w:eastAsia="zh-CN"/>
        </w:rPr>
      </w:pPr>
      <w:r w:rsidRPr="00753D11">
        <w:rPr>
          <w:b/>
          <w:bCs/>
          <w:i/>
          <w:iCs/>
          <w:lang w:val="en-US" w:eastAsia="zh-CN"/>
        </w:rPr>
        <w:t>If CSI-RS/SSB is provided in the uplink TCI state, pathloss reference signal should not be configured and the CSI-RS/SSB can be reused for pathloss estimation</w:t>
      </w:r>
      <w:r w:rsidR="00FE3326" w:rsidRPr="00F302FE">
        <w:rPr>
          <w:b/>
          <w:bCs/>
          <w:i/>
          <w:iCs/>
          <w:lang w:val="en-US" w:eastAsia="zh-CN"/>
        </w:rPr>
        <w:t>.</w:t>
      </w: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3EFEF845" w14:textId="77777777" w:rsidR="00F302FE" w:rsidRPr="002C796C" w:rsidRDefault="00F302FE" w:rsidP="00F302FE">
      <w:pPr>
        <w:pStyle w:val="0Maintext"/>
        <w:spacing w:after="120" w:afterAutospacing="0" w:line="240" w:lineRule="auto"/>
        <w:ind w:firstLine="0"/>
        <w:rPr>
          <w:b/>
          <w:bCs/>
          <w:i/>
          <w:iCs/>
          <w:lang w:val="en-US" w:eastAsia="zh-CN"/>
        </w:rPr>
      </w:pPr>
      <w:r w:rsidRPr="002C796C">
        <w:rPr>
          <w:b/>
          <w:bCs/>
          <w:i/>
          <w:iCs/>
          <w:lang w:val="en-US" w:eastAsia="zh-CN"/>
        </w:rPr>
        <w:t xml:space="preserve">Proposal </w:t>
      </w:r>
      <w:r>
        <w:rPr>
          <w:b/>
          <w:bCs/>
          <w:i/>
          <w:iCs/>
          <w:lang w:val="en-US" w:eastAsia="zh-CN"/>
        </w:rPr>
        <w:t>4</w:t>
      </w:r>
      <w:r w:rsidRPr="002C796C">
        <w:rPr>
          <w:b/>
          <w:bCs/>
          <w:i/>
          <w:iCs/>
          <w:lang w:val="en-US" w:eastAsia="zh-CN"/>
        </w:rPr>
        <w:t>: RAN1 should assume no additional RRC reconfiguration signaling is needed for L1/L2 centric inter-cell mobility, and RAN1 should clarify the corresponding UE behavior when a TCI with neighbor cell RS is indicated based on the following options</w:t>
      </w:r>
    </w:p>
    <w:p w14:paraId="568755A4" w14:textId="77777777" w:rsidR="00F302FE" w:rsidRPr="002C796C" w:rsidRDefault="00F302FE" w:rsidP="00F302FE">
      <w:pPr>
        <w:pStyle w:val="0Maintext"/>
        <w:numPr>
          <w:ilvl w:val="0"/>
          <w:numId w:val="31"/>
        </w:numPr>
        <w:spacing w:after="120" w:afterAutospacing="0" w:line="240" w:lineRule="auto"/>
        <w:rPr>
          <w:b/>
          <w:bCs/>
          <w:i/>
          <w:iCs/>
          <w:lang w:val="en-US" w:eastAsia="zh-CN"/>
        </w:rPr>
      </w:pPr>
      <w:r w:rsidRPr="002C796C">
        <w:rPr>
          <w:b/>
          <w:bCs/>
          <w:i/>
          <w:iCs/>
          <w:lang w:val="en-US" w:eastAsia="zh-CN"/>
        </w:rPr>
        <w:t xml:space="preserve">Option 1: UE continues to use the old RRC parameters to communicate with the target cell; </w:t>
      </w:r>
    </w:p>
    <w:p w14:paraId="20ED67F8" w14:textId="7709828D" w:rsidR="00F302FE" w:rsidRPr="002C796C" w:rsidRDefault="00F302FE" w:rsidP="00F302FE">
      <w:pPr>
        <w:pStyle w:val="0Maintext"/>
        <w:numPr>
          <w:ilvl w:val="0"/>
          <w:numId w:val="31"/>
        </w:numPr>
        <w:spacing w:after="120" w:afterAutospacing="0" w:line="240" w:lineRule="auto"/>
        <w:rPr>
          <w:b/>
          <w:bCs/>
          <w:i/>
          <w:iCs/>
          <w:lang w:val="en-US" w:eastAsia="zh-CN"/>
        </w:rPr>
      </w:pPr>
      <w:r w:rsidRPr="002C796C">
        <w:rPr>
          <w:b/>
          <w:bCs/>
          <w:i/>
          <w:iCs/>
          <w:lang w:val="en-US" w:eastAsia="zh-CN"/>
        </w:rPr>
        <w:t>Option 2: gNB can preconfigure the RRC parameters for the target cell and the RRC parameters should be used when the TCI with target cell RS is indicated</w:t>
      </w:r>
      <w:r w:rsidR="00057599">
        <w:rPr>
          <w:b/>
          <w:bCs/>
          <w:i/>
          <w:iCs/>
          <w:lang w:val="en-US" w:eastAsia="zh-CN"/>
        </w:rPr>
        <w:t>, which is similar to BWP switching</w:t>
      </w:r>
    </w:p>
    <w:p w14:paraId="26F1955E" w14:textId="7DD7E46E" w:rsidR="00F302FE" w:rsidRPr="00BC522F" w:rsidRDefault="00F302FE" w:rsidP="00F302FE">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Pr>
          <w:b/>
          <w:bCs/>
          <w:i/>
          <w:iCs/>
          <w:lang w:val="en-US" w:eastAsia="zh-CN"/>
        </w:rPr>
        <w:t>5</w:t>
      </w:r>
      <w:r w:rsidRPr="00BC522F">
        <w:rPr>
          <w:b/>
          <w:bCs/>
          <w:i/>
          <w:iCs/>
          <w:lang w:val="en-US" w:eastAsia="zh-CN"/>
        </w:rPr>
        <w:t xml:space="preserve">: </w:t>
      </w:r>
      <w:r>
        <w:rPr>
          <w:b/>
          <w:bCs/>
          <w:i/>
          <w:iCs/>
          <w:lang w:val="en-US" w:eastAsia="zh-CN"/>
        </w:rPr>
        <w:t xml:space="preserve">Support </w:t>
      </w:r>
      <w:r w:rsidR="00057599">
        <w:rPr>
          <w:b/>
          <w:bCs/>
          <w:i/>
          <w:iCs/>
          <w:lang w:val="en-US" w:eastAsia="zh-CN"/>
        </w:rPr>
        <w:t>hybrid</w:t>
      </w:r>
      <w:r>
        <w:rPr>
          <w:b/>
          <w:bCs/>
          <w:i/>
          <w:iCs/>
          <w:lang w:val="en-US" w:eastAsia="zh-CN"/>
        </w:rPr>
        <w:t xml:space="preserve"> L3+L1 measurement for inter-cell mobility</w:t>
      </w:r>
      <w:r w:rsidRPr="00BC522F">
        <w:rPr>
          <w:b/>
          <w:bCs/>
          <w:i/>
          <w:iCs/>
          <w:lang w:val="en-US" w:eastAsia="zh-CN"/>
        </w:rPr>
        <w:t>.</w:t>
      </w:r>
    </w:p>
    <w:p w14:paraId="1CFBF7F7" w14:textId="77777777" w:rsidR="00F302FE" w:rsidRPr="00A11012" w:rsidRDefault="00F302FE" w:rsidP="00F302FE">
      <w:pPr>
        <w:pStyle w:val="0Maintext"/>
        <w:numPr>
          <w:ilvl w:val="0"/>
          <w:numId w:val="32"/>
        </w:numPr>
        <w:spacing w:after="120" w:afterAutospacing="0" w:line="240" w:lineRule="auto"/>
        <w:rPr>
          <w:b/>
          <w:bCs/>
          <w:i/>
          <w:iCs/>
          <w:lang w:val="en-US" w:eastAsia="zh-CN"/>
        </w:rPr>
      </w:pPr>
      <w:r>
        <w:rPr>
          <w:b/>
          <w:bCs/>
          <w:i/>
          <w:iCs/>
          <w:lang w:val="en-US" w:eastAsia="zh-CN"/>
        </w:rPr>
        <w:t xml:space="preserve">L3 measurement results </w:t>
      </w:r>
      <w:r w:rsidRPr="00A11012">
        <w:rPr>
          <w:b/>
          <w:bCs/>
          <w:i/>
          <w:iCs/>
          <w:lang w:val="en-US" w:eastAsia="zh-CN"/>
        </w:rPr>
        <w:t>can be used for potential candidate cell(s) selection</w:t>
      </w:r>
      <w:r>
        <w:rPr>
          <w:b/>
          <w:bCs/>
          <w:i/>
          <w:iCs/>
          <w:lang w:val="en-US" w:eastAsia="zh-CN"/>
        </w:rPr>
        <w:t>, where the CSI-reportConfig corresponding to the candidate cell(s) can be considered as “enabled”</w:t>
      </w:r>
    </w:p>
    <w:p w14:paraId="096476C8" w14:textId="77777777" w:rsidR="00F302FE" w:rsidRPr="00A11012" w:rsidRDefault="00F302FE" w:rsidP="00F302FE">
      <w:pPr>
        <w:pStyle w:val="0Maintext"/>
        <w:numPr>
          <w:ilvl w:val="0"/>
          <w:numId w:val="32"/>
        </w:numPr>
        <w:spacing w:after="120" w:afterAutospacing="0" w:line="240" w:lineRule="auto"/>
        <w:rPr>
          <w:b/>
          <w:bCs/>
          <w:i/>
          <w:iCs/>
          <w:lang w:val="en-US" w:eastAsia="zh-CN"/>
        </w:rPr>
      </w:pPr>
      <w:r>
        <w:rPr>
          <w:b/>
          <w:bCs/>
          <w:i/>
          <w:iCs/>
          <w:lang w:val="en-US" w:eastAsia="zh-CN"/>
        </w:rPr>
        <w:t>L1 measurement results based on the CSI-reportConfig for corresponding candidate cell can be used for beam selection for the cell</w:t>
      </w:r>
    </w:p>
    <w:p w14:paraId="05296126" w14:textId="77777777" w:rsidR="00F302FE" w:rsidRDefault="00F302FE" w:rsidP="00F302FE">
      <w:pPr>
        <w:pStyle w:val="0Maintext"/>
        <w:spacing w:after="120" w:afterAutospacing="0" w:line="240" w:lineRule="auto"/>
        <w:ind w:firstLine="0"/>
        <w:rPr>
          <w:b/>
          <w:bCs/>
          <w:i/>
          <w:iCs/>
          <w:lang w:val="en-US" w:eastAsia="zh-CN"/>
        </w:rPr>
      </w:pPr>
      <w:r>
        <w:rPr>
          <w:b/>
          <w:bCs/>
          <w:i/>
          <w:iCs/>
          <w:lang w:val="en-US" w:eastAsia="zh-CN"/>
        </w:rPr>
        <w:t>Proposal 6: To facilitate L1/L2 centric inter-cell mobility, the TCI states can be divided into N groups, where each group is associated with one SSB configuration</w:t>
      </w:r>
    </w:p>
    <w:p w14:paraId="1F80A940" w14:textId="77777777" w:rsidR="00F302FE" w:rsidRDefault="00F302FE" w:rsidP="00F302FE">
      <w:pPr>
        <w:pStyle w:val="0Maintext"/>
        <w:numPr>
          <w:ilvl w:val="0"/>
          <w:numId w:val="24"/>
        </w:numPr>
        <w:spacing w:after="120" w:afterAutospacing="0" w:line="240" w:lineRule="auto"/>
        <w:rPr>
          <w:b/>
          <w:bCs/>
          <w:i/>
          <w:iCs/>
          <w:lang w:val="en-US" w:eastAsia="zh-CN"/>
        </w:rPr>
      </w:pPr>
      <w:r>
        <w:rPr>
          <w:b/>
          <w:bCs/>
          <w:i/>
          <w:iCs/>
          <w:lang w:val="en-US" w:eastAsia="zh-CN"/>
        </w:rPr>
        <w:t>The SSB configuration should at least include physical cell ID, SSB transmission power, SSB periodicity and pattern in burst, as well as offset to point A</w:t>
      </w:r>
    </w:p>
    <w:p w14:paraId="60B55FF5" w14:textId="77777777" w:rsidR="00F302FE" w:rsidRDefault="00F302FE" w:rsidP="00F302FE">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Pr>
          <w:b/>
          <w:bCs/>
          <w:i/>
          <w:iCs/>
          <w:lang w:val="en-US" w:eastAsia="zh-CN"/>
        </w:rPr>
        <w:t>7</w:t>
      </w:r>
      <w:r w:rsidRPr="006F66D2">
        <w:rPr>
          <w:b/>
          <w:bCs/>
          <w:i/>
          <w:iCs/>
          <w:lang w:val="en-US" w:eastAsia="zh-CN"/>
        </w:rPr>
        <w:t>: Support MAC CE based beam reporting</w:t>
      </w:r>
      <w:r>
        <w:rPr>
          <w:b/>
          <w:bCs/>
          <w:i/>
          <w:iCs/>
          <w:lang w:val="en-US" w:eastAsia="zh-CN"/>
        </w:rPr>
        <w:t>, which can be triggered by a particular event</w:t>
      </w:r>
      <w:r w:rsidRPr="006F66D2">
        <w:rPr>
          <w:b/>
          <w:bCs/>
          <w:i/>
          <w:iCs/>
          <w:lang w:val="en-US" w:eastAsia="zh-CN"/>
        </w:rPr>
        <w:t>.</w:t>
      </w:r>
    </w:p>
    <w:p w14:paraId="292F2FA5" w14:textId="77777777" w:rsidR="00F302FE" w:rsidRPr="006F66D2" w:rsidRDefault="00F302FE" w:rsidP="00F302FE">
      <w:pPr>
        <w:pStyle w:val="0Maintext"/>
        <w:numPr>
          <w:ilvl w:val="0"/>
          <w:numId w:val="24"/>
        </w:numPr>
        <w:spacing w:after="120" w:afterAutospacing="0" w:line="240" w:lineRule="auto"/>
        <w:rPr>
          <w:b/>
          <w:bCs/>
          <w:i/>
          <w:iCs/>
          <w:lang w:val="en-US" w:eastAsia="zh-CN"/>
        </w:rPr>
      </w:pPr>
      <w:r>
        <w:rPr>
          <w:b/>
          <w:bCs/>
          <w:i/>
          <w:iCs/>
          <w:lang w:val="en-US" w:eastAsia="zh-CN"/>
        </w:rPr>
        <w:t>FFS: The event to trigger the MAC CE for beam reporting</w:t>
      </w:r>
    </w:p>
    <w:p w14:paraId="3C2C2FDF" w14:textId="67003FF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77134B13" w14:textId="77777777" w:rsidR="00F302FE" w:rsidRDefault="00F302FE" w:rsidP="00F302FE">
      <w:pPr>
        <w:pStyle w:val="0Maintext"/>
        <w:spacing w:after="120" w:afterAutospacing="0" w:line="240" w:lineRule="auto"/>
        <w:ind w:firstLine="0"/>
        <w:rPr>
          <w:b/>
          <w:bCs/>
          <w:i/>
          <w:iCs/>
          <w:lang w:val="en-US" w:eastAsia="zh-CN"/>
        </w:rPr>
      </w:pPr>
      <w:r w:rsidRPr="000923EC">
        <w:rPr>
          <w:b/>
          <w:bCs/>
          <w:i/>
          <w:iCs/>
          <w:lang w:val="en-US" w:eastAsia="zh-CN"/>
        </w:rPr>
        <w:t xml:space="preserve">Proposal </w:t>
      </w:r>
      <w:r>
        <w:rPr>
          <w:b/>
          <w:bCs/>
          <w:i/>
          <w:iCs/>
          <w:lang w:val="en-US" w:eastAsia="zh-CN"/>
        </w:rPr>
        <w:t>8</w:t>
      </w:r>
      <w:r w:rsidRPr="000923EC">
        <w:rPr>
          <w:b/>
          <w:bCs/>
          <w:i/>
          <w:iCs/>
          <w:lang w:val="en-US" w:eastAsia="zh-CN"/>
        </w:rPr>
        <w:t xml:space="preserve">: </w:t>
      </w:r>
      <w:r>
        <w:rPr>
          <w:b/>
          <w:bCs/>
          <w:i/>
          <w:iCs/>
          <w:lang w:val="en-US" w:eastAsia="zh-CN"/>
        </w:rPr>
        <w:t>For unified TCI update, the starting point to count action delay should be the last symbol of acknowledgement report</w:t>
      </w:r>
      <w:r w:rsidRPr="000923EC">
        <w:rPr>
          <w:b/>
          <w:bCs/>
          <w:i/>
          <w:iCs/>
          <w:lang w:val="en-US" w:eastAsia="zh-CN"/>
        </w:rPr>
        <w:t>.</w:t>
      </w:r>
    </w:p>
    <w:p w14:paraId="3A34152F" w14:textId="77777777" w:rsidR="00F302FE" w:rsidRDefault="00F302FE" w:rsidP="00F302FE">
      <w:pPr>
        <w:pStyle w:val="0Maintext"/>
        <w:spacing w:after="120" w:afterAutospacing="0" w:line="240" w:lineRule="auto"/>
        <w:ind w:firstLine="0"/>
        <w:rPr>
          <w:b/>
          <w:bCs/>
          <w:i/>
          <w:iCs/>
          <w:lang w:val="en-CN" w:eastAsia="zh-CN"/>
        </w:rPr>
      </w:pPr>
      <w:r>
        <w:rPr>
          <w:b/>
          <w:bCs/>
          <w:i/>
          <w:iCs/>
          <w:lang w:val="en-US" w:eastAsia="zh-CN"/>
        </w:rPr>
        <w:t xml:space="preserve">Proposal 9: Support </w:t>
      </w:r>
      <w:r>
        <w:rPr>
          <w:b/>
          <w:bCs/>
          <w:i/>
          <w:iCs/>
          <w:lang w:val="en-CN" w:eastAsia="zh-CN"/>
        </w:rPr>
        <w:t>t</w:t>
      </w:r>
      <w:r w:rsidRPr="00A9213A">
        <w:rPr>
          <w:b/>
          <w:bCs/>
          <w:i/>
          <w:iCs/>
          <w:lang w:val="en-CN" w:eastAsia="zh-CN"/>
        </w:rPr>
        <w:t>he beam application time can be configured by the gNB based on UE capability</w:t>
      </w:r>
    </w:p>
    <w:p w14:paraId="7B1D7A85" w14:textId="77777777" w:rsidR="00F302FE" w:rsidRDefault="00F302FE" w:rsidP="00F302FE">
      <w:pPr>
        <w:pStyle w:val="0Maintext"/>
        <w:spacing w:after="120" w:afterAutospacing="0" w:line="240" w:lineRule="auto"/>
        <w:ind w:firstLine="0"/>
        <w:rPr>
          <w:b/>
          <w:bCs/>
          <w:i/>
          <w:iCs/>
          <w:lang w:val="en-US" w:eastAsia="zh-CN"/>
        </w:rPr>
      </w:pPr>
      <w:r>
        <w:rPr>
          <w:b/>
          <w:bCs/>
          <w:i/>
          <w:iCs/>
          <w:lang w:val="en-CN" w:eastAsia="zh-CN"/>
        </w:rPr>
        <w:t>Proposal 10: The TCI in DCI should be selected based on the latest MAC CE before the action time for the DCI.</w:t>
      </w:r>
    </w:p>
    <w:p w14:paraId="34F24757" w14:textId="77777777" w:rsidR="00F302FE" w:rsidRDefault="00F302FE" w:rsidP="00F302FE">
      <w:pPr>
        <w:pStyle w:val="0Maintext"/>
        <w:spacing w:after="120" w:afterAutospacing="0" w:line="240" w:lineRule="auto"/>
        <w:ind w:firstLine="0"/>
        <w:rPr>
          <w:b/>
          <w:bCs/>
          <w:i/>
          <w:iCs/>
          <w:lang w:val="en-US" w:eastAsia="zh-CN"/>
        </w:rPr>
      </w:pPr>
      <w:r>
        <w:rPr>
          <w:b/>
          <w:bCs/>
          <w:i/>
          <w:iCs/>
          <w:lang w:val="en-US" w:eastAsia="zh-CN"/>
        </w:rPr>
        <w:t xml:space="preserve">Proposal 11: For unknown TCI state, support </w:t>
      </w:r>
      <w:r w:rsidRPr="000923EC">
        <w:rPr>
          <w:b/>
          <w:bCs/>
          <w:i/>
          <w:iCs/>
          <w:lang w:val="en-US" w:eastAsia="zh-CN"/>
        </w:rPr>
        <w:t xml:space="preserve">the </w:t>
      </w:r>
      <w:r>
        <w:rPr>
          <w:b/>
          <w:bCs/>
          <w:i/>
          <w:iCs/>
          <w:lang w:val="en-US" w:eastAsia="zh-CN"/>
        </w:rPr>
        <w:t xml:space="preserve">minimal </w:t>
      </w:r>
      <w:r w:rsidRPr="000923EC">
        <w:rPr>
          <w:b/>
          <w:bCs/>
          <w:i/>
          <w:iCs/>
          <w:lang w:val="en-US" w:eastAsia="zh-CN"/>
        </w:rPr>
        <w:t xml:space="preserve">TCI update delay to be </w:t>
      </w:r>
      <w:r>
        <w:rPr>
          <w:b/>
          <w:bCs/>
          <w:i/>
          <w:iCs/>
          <w:lang w:val="en-US" w:eastAsia="zh-CN"/>
        </w:rPr>
        <w:t>(X+K) ms, where K ms is used for UE beam tracking and X ms is the delay when indicated TCI state is known</w:t>
      </w:r>
    </w:p>
    <w:p w14:paraId="4DA7945E" w14:textId="77777777" w:rsidR="00F302FE" w:rsidRDefault="00F302FE" w:rsidP="00F302FE">
      <w:pPr>
        <w:pStyle w:val="0Maintext"/>
        <w:numPr>
          <w:ilvl w:val="0"/>
          <w:numId w:val="33"/>
        </w:numPr>
        <w:spacing w:after="120" w:afterAutospacing="0" w:line="240" w:lineRule="auto"/>
        <w:rPr>
          <w:b/>
          <w:bCs/>
          <w:i/>
          <w:iCs/>
          <w:lang w:val="en-US" w:eastAsia="zh-CN"/>
        </w:rPr>
      </w:pPr>
      <w:r>
        <w:rPr>
          <w:b/>
          <w:bCs/>
          <w:i/>
          <w:iCs/>
          <w:lang w:val="en-US" w:eastAsia="zh-CN"/>
        </w:rPr>
        <w:lastRenderedPageBreak/>
        <w:t>Support DCI format 1_1/1_2 to trigger aperiodic CSI-RS resources QCLed with the DL RS configured in the indicated TCI state</w:t>
      </w:r>
    </w:p>
    <w:p w14:paraId="30F3CA18" w14:textId="77777777" w:rsidR="00F302FE" w:rsidRDefault="00F302FE" w:rsidP="00F302FE">
      <w:pPr>
        <w:pStyle w:val="0Maintext"/>
        <w:numPr>
          <w:ilvl w:val="0"/>
          <w:numId w:val="33"/>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139CBC6F" w14:textId="7EF5AD43" w:rsidR="00F302FE" w:rsidRDefault="00F302FE" w:rsidP="00F302FE">
      <w:pPr>
        <w:pStyle w:val="0Maintext"/>
        <w:numPr>
          <w:ilvl w:val="0"/>
          <w:numId w:val="33"/>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 is enabled</w:t>
      </w:r>
    </w:p>
    <w:p w14:paraId="317E5C05" w14:textId="342EDF03" w:rsidR="00F302FE" w:rsidRPr="00990D66" w:rsidRDefault="00F302FE" w:rsidP="00F302FE">
      <w:pPr>
        <w:pStyle w:val="0Maintext"/>
        <w:spacing w:after="120" w:afterAutospacing="0" w:line="240" w:lineRule="auto"/>
        <w:ind w:firstLine="0"/>
        <w:rPr>
          <w:b/>
          <w:bCs/>
          <w:i/>
          <w:iCs/>
          <w:lang w:val="en-US" w:eastAsia="zh-CN"/>
        </w:rPr>
      </w:pPr>
      <w:r w:rsidRPr="00990D66">
        <w:rPr>
          <w:b/>
          <w:bCs/>
          <w:i/>
          <w:iCs/>
          <w:lang w:val="en-US" w:eastAsia="zh-CN"/>
        </w:rPr>
        <w:t xml:space="preserve">Proposal 12: UE shall expect gNB updates TCI </w:t>
      </w:r>
      <w:r w:rsidR="008D18C8">
        <w:rPr>
          <w:b/>
          <w:bCs/>
          <w:i/>
          <w:iCs/>
          <w:lang w:val="en-US" w:eastAsia="zh-CN"/>
        </w:rPr>
        <w:t xml:space="preserve">at most </w:t>
      </w:r>
      <w:r w:rsidRPr="00990D66">
        <w:rPr>
          <w:b/>
          <w:bCs/>
          <w:i/>
          <w:iCs/>
          <w:lang w:val="en-US" w:eastAsia="zh-CN"/>
        </w:rPr>
        <w:t>once in downlink slots corresponding to a HARQ codebook.</w:t>
      </w:r>
    </w:p>
    <w:p w14:paraId="579CEBCE" w14:textId="77777777" w:rsidR="00F302FE" w:rsidRDefault="00F302FE" w:rsidP="00F302FE">
      <w:pPr>
        <w:pStyle w:val="0Maintext"/>
        <w:numPr>
          <w:ilvl w:val="0"/>
          <w:numId w:val="47"/>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77E1F2C4" w14:textId="0A8D8A9A" w:rsidR="00F302FE" w:rsidRPr="00F302FE" w:rsidRDefault="00F302FE" w:rsidP="00F302FE">
      <w:pPr>
        <w:pStyle w:val="0Maintext"/>
        <w:numPr>
          <w:ilvl w:val="0"/>
          <w:numId w:val="47"/>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4F91843B" w14:textId="77777777" w:rsidR="00F302FE" w:rsidRPr="00BE0401" w:rsidRDefault="00F302FE" w:rsidP="00F302FE">
      <w:pPr>
        <w:pStyle w:val="0Maintext"/>
        <w:spacing w:after="120" w:afterAutospacing="0" w:line="240" w:lineRule="auto"/>
        <w:ind w:firstLine="0"/>
        <w:rPr>
          <w:b/>
          <w:bCs/>
          <w:i/>
          <w:iCs/>
          <w:lang w:val="en-US" w:eastAsia="zh-CN"/>
        </w:rPr>
      </w:pPr>
      <w:r w:rsidRPr="00BE0401">
        <w:rPr>
          <w:b/>
          <w:bCs/>
          <w:i/>
          <w:iCs/>
          <w:lang w:val="en-US" w:eastAsia="zh-CN"/>
        </w:rPr>
        <w:t>Proposal 1</w:t>
      </w:r>
      <w:r>
        <w:rPr>
          <w:b/>
          <w:bCs/>
          <w:i/>
          <w:iCs/>
          <w:lang w:val="en-US" w:eastAsia="zh-CN"/>
        </w:rPr>
        <w:t>3</w:t>
      </w:r>
      <w:r w:rsidRPr="00BE0401">
        <w:rPr>
          <w:b/>
          <w:bCs/>
          <w:i/>
          <w:iCs/>
          <w:lang w:val="en-US" w:eastAsia="zh-CN"/>
        </w:rPr>
        <w:t>: A panel should be defined as a group of antenna ports, where the antenna port to antenna element mapping should be transparent in specification.</w:t>
      </w:r>
    </w:p>
    <w:p w14:paraId="1C8AB589" w14:textId="77777777" w:rsidR="00F302FE" w:rsidRPr="00BE0401" w:rsidRDefault="00F302FE" w:rsidP="00F302FE">
      <w:pPr>
        <w:pStyle w:val="0Maintext"/>
        <w:numPr>
          <w:ilvl w:val="0"/>
          <w:numId w:val="36"/>
        </w:numPr>
        <w:spacing w:after="120" w:afterAutospacing="0" w:line="240" w:lineRule="auto"/>
        <w:rPr>
          <w:b/>
          <w:bCs/>
          <w:i/>
          <w:iCs/>
          <w:lang w:val="en-US" w:eastAsia="zh-CN"/>
        </w:rPr>
      </w:pPr>
      <w:r w:rsidRPr="00BE0401">
        <w:rPr>
          <w:b/>
          <w:bCs/>
          <w:i/>
          <w:iCs/>
          <w:lang w:val="en-US" w:eastAsia="zh-CN"/>
        </w:rPr>
        <w:t>Support UE reports the capability of number of antenna ports groups, and for each antenna ports group, UE can report number of SRS antenna ports and number of beams</w:t>
      </w:r>
    </w:p>
    <w:p w14:paraId="15591583" w14:textId="77777777" w:rsidR="00F302FE" w:rsidRPr="00BE0401" w:rsidRDefault="00F302FE" w:rsidP="00F302FE">
      <w:pPr>
        <w:pStyle w:val="0Maintext"/>
        <w:spacing w:after="120" w:afterAutospacing="0" w:line="240" w:lineRule="auto"/>
        <w:ind w:firstLine="0"/>
        <w:rPr>
          <w:b/>
          <w:bCs/>
          <w:i/>
          <w:iCs/>
          <w:lang w:val="en-US" w:eastAsia="zh-CN"/>
        </w:rPr>
      </w:pPr>
      <w:r w:rsidRPr="00BE0401">
        <w:rPr>
          <w:b/>
          <w:bCs/>
          <w:i/>
          <w:iCs/>
          <w:lang w:val="en-US" w:eastAsia="zh-CN"/>
        </w:rPr>
        <w:t>Proposal 1</w:t>
      </w:r>
      <w:r>
        <w:rPr>
          <w:b/>
          <w:bCs/>
          <w:i/>
          <w:iCs/>
          <w:lang w:val="en-US" w:eastAsia="zh-CN"/>
        </w:rPr>
        <w:t>4</w:t>
      </w:r>
      <w:r w:rsidRPr="00BE0401">
        <w:rPr>
          <w:b/>
          <w:bCs/>
          <w:i/>
          <w:iCs/>
          <w:lang w:val="en-US" w:eastAsia="zh-CN"/>
        </w:rPr>
        <w:t>: In beam reporting, support UE to report the antenna ports group (APG) index for each SSB/CSI-RS.</w:t>
      </w:r>
    </w:p>
    <w:p w14:paraId="159B049B" w14:textId="77777777" w:rsidR="00F302FE" w:rsidRPr="00BE0401" w:rsidRDefault="00F302FE" w:rsidP="00F302FE">
      <w:pPr>
        <w:pStyle w:val="0Maintext"/>
        <w:numPr>
          <w:ilvl w:val="0"/>
          <w:numId w:val="36"/>
        </w:numPr>
        <w:spacing w:after="120" w:afterAutospacing="0" w:line="240" w:lineRule="auto"/>
        <w:rPr>
          <w:b/>
          <w:bCs/>
          <w:i/>
          <w:iCs/>
          <w:lang w:val="en-US" w:eastAsia="zh-CN"/>
        </w:rPr>
      </w:pPr>
      <w:r w:rsidRPr="00BE0401">
        <w:rPr>
          <w:b/>
          <w:bCs/>
          <w:i/>
          <w:iCs/>
          <w:lang w:val="en-US" w:eastAsia="zh-CN"/>
        </w:rPr>
        <w:t>Support gNB to preconfigure some RRC parameters for each APG, and the RRC parameters for a APG should be applied when TCI with the corresponding SSB/CSI-RS is indicated</w:t>
      </w: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78245208" w14:textId="77777777" w:rsidR="00F302FE" w:rsidRPr="0094095E" w:rsidRDefault="00F302FE" w:rsidP="00F302FE">
      <w:pPr>
        <w:pStyle w:val="0Maintext"/>
        <w:spacing w:after="120" w:afterAutospacing="0" w:line="240" w:lineRule="auto"/>
        <w:ind w:firstLine="0"/>
        <w:rPr>
          <w:b/>
          <w:bCs/>
          <w:i/>
          <w:iCs/>
          <w:lang w:val="en-US" w:eastAsia="zh-CN"/>
        </w:rPr>
      </w:pPr>
      <w:r w:rsidRPr="0094095E">
        <w:rPr>
          <w:b/>
          <w:bCs/>
          <w:i/>
          <w:iCs/>
          <w:lang w:val="en-US" w:eastAsia="zh-CN"/>
        </w:rPr>
        <w:t>Proposal 1</w:t>
      </w:r>
      <w:r>
        <w:rPr>
          <w:b/>
          <w:bCs/>
          <w:i/>
          <w:iCs/>
          <w:lang w:val="en-US" w:eastAsia="zh-CN"/>
        </w:rPr>
        <w:t>5</w:t>
      </w:r>
      <w:r w:rsidRPr="0094095E">
        <w:rPr>
          <w:b/>
          <w:bCs/>
          <w:i/>
          <w:iCs/>
          <w:lang w:val="en-US" w:eastAsia="zh-CN"/>
        </w:rPr>
        <w:t xml:space="preserve">: </w:t>
      </w:r>
      <w:r>
        <w:rPr>
          <w:b/>
          <w:bCs/>
          <w:i/>
          <w:iCs/>
          <w:lang w:val="en-US" w:eastAsia="zh-CN"/>
        </w:rPr>
        <w:t>With regard to MPE impact, s</w:t>
      </w:r>
      <w:r w:rsidRPr="0094095E">
        <w:rPr>
          <w:b/>
          <w:bCs/>
          <w:i/>
          <w:iCs/>
          <w:lang w:val="en-US" w:eastAsia="zh-CN"/>
        </w:rPr>
        <w:t>upport beam report enhancement to facilitate UL receiving power based beam selection.</w:t>
      </w:r>
    </w:p>
    <w:p w14:paraId="246BE535" w14:textId="77777777" w:rsidR="00F302FE" w:rsidRPr="0094095E" w:rsidRDefault="00F302FE" w:rsidP="00F302FE">
      <w:pPr>
        <w:pStyle w:val="0Maintext"/>
        <w:numPr>
          <w:ilvl w:val="0"/>
          <w:numId w:val="36"/>
        </w:numPr>
        <w:spacing w:after="120" w:afterAutospacing="0" w:line="240" w:lineRule="auto"/>
        <w:rPr>
          <w:b/>
          <w:bCs/>
          <w:i/>
          <w:iCs/>
          <w:lang w:val="en-US" w:eastAsia="zh-CN"/>
        </w:rPr>
      </w:pPr>
      <w:r w:rsidRPr="0094095E">
        <w:rPr>
          <w:b/>
          <w:bCs/>
          <w:i/>
          <w:iCs/>
          <w:lang w:val="en-US" w:eastAsia="zh-CN"/>
        </w:rPr>
        <w:t>Support UE reports Pcmax with P-MPR included, virtual PHR and L1-RSRP for SSB/CSI-RS in a beam reporting instance</w:t>
      </w:r>
    </w:p>
    <w:p w14:paraId="5A44F619" w14:textId="77777777" w:rsidR="00F302FE" w:rsidRDefault="00F302FE" w:rsidP="00F302FE">
      <w:pPr>
        <w:pStyle w:val="0Maintext"/>
        <w:numPr>
          <w:ilvl w:val="0"/>
          <w:numId w:val="36"/>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22A200BD" w14:textId="77777777" w:rsidR="00F302FE" w:rsidRPr="0094095E" w:rsidRDefault="00F302FE" w:rsidP="00F302FE">
      <w:pPr>
        <w:pStyle w:val="0Maintext"/>
        <w:spacing w:after="120" w:afterAutospacing="0" w:line="240" w:lineRule="auto"/>
        <w:ind w:firstLine="0"/>
        <w:rPr>
          <w:b/>
          <w:bCs/>
          <w:i/>
          <w:iCs/>
          <w:lang w:val="en-US" w:eastAsia="zh-CN"/>
        </w:rPr>
      </w:pPr>
      <w:r>
        <w:rPr>
          <w:b/>
          <w:bCs/>
          <w:i/>
          <w:iCs/>
          <w:lang w:val="en-US" w:eastAsia="zh-CN"/>
        </w:rPr>
        <w:t>Proposal 16: With regard to MPE impact, support gNB to configure applicable bandwidth range for the uplink TCI, where the TCI should be applied for uplink channel within the bandwidth range.</w:t>
      </w:r>
    </w:p>
    <w:p w14:paraId="2DADB0C7" w14:textId="538336A7"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6</w:t>
      </w:r>
    </w:p>
    <w:p w14:paraId="2947368B" w14:textId="7A7E3986" w:rsidR="00FE3326" w:rsidRPr="008C009A" w:rsidRDefault="00FE3326" w:rsidP="00FE3326">
      <w:pPr>
        <w:pStyle w:val="0Maintext"/>
        <w:spacing w:after="120" w:afterAutospacing="0" w:line="240" w:lineRule="auto"/>
        <w:ind w:firstLine="0"/>
        <w:rPr>
          <w:b/>
          <w:bCs/>
          <w:i/>
          <w:iCs/>
          <w:lang w:val="en-US" w:eastAsia="zh-CN"/>
        </w:rPr>
      </w:pPr>
      <w:r w:rsidRPr="008C009A">
        <w:rPr>
          <w:b/>
          <w:bCs/>
          <w:i/>
          <w:iCs/>
          <w:lang w:val="en-US" w:eastAsia="zh-CN"/>
        </w:rPr>
        <w:t>Proposal 1</w:t>
      </w:r>
      <w:r w:rsidR="00F302FE">
        <w:rPr>
          <w:b/>
          <w:bCs/>
          <w:i/>
          <w:iCs/>
          <w:lang w:val="en-US" w:eastAsia="zh-CN"/>
        </w:rPr>
        <w:t>7</w:t>
      </w:r>
      <w:r w:rsidRPr="008C009A">
        <w:rPr>
          <w:b/>
          <w:bCs/>
          <w:i/>
          <w:iCs/>
          <w:lang w:val="en-US" w:eastAsia="zh-CN"/>
        </w:rPr>
        <w:t xml:space="preserve">: To speed up beam acquisition, RAN1 should </w:t>
      </w:r>
      <w:r>
        <w:rPr>
          <w:b/>
          <w:bCs/>
          <w:i/>
          <w:iCs/>
          <w:lang w:val="en-US" w:eastAsia="zh-CN"/>
        </w:rPr>
        <w:t>introduce</w:t>
      </w:r>
      <w:r w:rsidRPr="008C009A">
        <w:rPr>
          <w:b/>
          <w:bCs/>
          <w:i/>
          <w:iCs/>
          <w:lang w:val="en-US" w:eastAsia="zh-CN"/>
        </w:rPr>
        <w:t xml:space="preserve"> schemes to include more than one SSBs in a UE beam tracking loop.</w:t>
      </w:r>
    </w:p>
    <w:p w14:paraId="55B22120" w14:textId="144B9AAE" w:rsidR="00FE3326" w:rsidRPr="000D4A1A" w:rsidRDefault="00FE3326" w:rsidP="000D4A1A">
      <w:pPr>
        <w:pStyle w:val="0Maintext"/>
        <w:numPr>
          <w:ilvl w:val="0"/>
          <w:numId w:val="23"/>
        </w:numPr>
        <w:spacing w:after="120" w:afterAutospacing="0" w:line="240" w:lineRule="auto"/>
        <w:rPr>
          <w:b/>
          <w:bCs/>
          <w:i/>
          <w:iCs/>
          <w:lang w:val="en-US" w:eastAsia="zh-CN"/>
        </w:rPr>
      </w:pPr>
      <w:r w:rsidRPr="008C009A">
        <w:rPr>
          <w:b/>
          <w:bCs/>
          <w:i/>
          <w:iCs/>
          <w:lang w:val="en-US" w:eastAsia="zh-CN"/>
        </w:rPr>
        <w:t>As a starting point, RAN1 can study schemes for gNB to provide some QCL information for SSBs within a CC and across CCs</w:t>
      </w:r>
    </w:p>
    <w:p w14:paraId="0E05481E" w14:textId="1C208B55" w:rsidR="00FE3326" w:rsidRPr="000E2519" w:rsidRDefault="00FE3326" w:rsidP="00FE3326">
      <w:pPr>
        <w:pStyle w:val="0Maintext"/>
        <w:spacing w:after="120" w:afterAutospacing="0" w:line="240" w:lineRule="auto"/>
        <w:ind w:firstLine="0"/>
        <w:rPr>
          <w:b/>
          <w:bCs/>
          <w:i/>
          <w:iCs/>
          <w:lang w:val="en-US" w:eastAsia="zh-CN"/>
        </w:rPr>
      </w:pPr>
      <w:r>
        <w:rPr>
          <w:b/>
          <w:bCs/>
          <w:i/>
          <w:iCs/>
          <w:lang w:val="en-US" w:eastAsia="zh-CN"/>
        </w:rPr>
        <w:t xml:space="preserve">Proposal </w:t>
      </w:r>
      <w:r w:rsidR="00F302FE">
        <w:rPr>
          <w:b/>
          <w:bCs/>
          <w:i/>
          <w:iCs/>
          <w:lang w:val="en-US" w:eastAsia="zh-CN"/>
        </w:rPr>
        <w:t>18</w:t>
      </w:r>
      <w:r>
        <w:rPr>
          <w:b/>
          <w:bCs/>
          <w:i/>
          <w:iCs/>
          <w:lang w:val="en-US" w:eastAsia="zh-CN"/>
        </w:rPr>
        <w:t>: For overhead and latency reduction, support 1 CSI-RS resource to be transmitted in multiple symbol to facilitate joint P2/P3 beam management.</w:t>
      </w:r>
    </w:p>
    <w:p w14:paraId="111F2A22" w14:textId="649FADC2" w:rsidR="00FE3326" w:rsidRPr="00962EC6" w:rsidRDefault="00FE3326" w:rsidP="00FE3326">
      <w:pPr>
        <w:pStyle w:val="0Maintext"/>
        <w:spacing w:after="120" w:afterAutospacing="0" w:line="240" w:lineRule="auto"/>
        <w:ind w:firstLine="0"/>
        <w:rPr>
          <w:b/>
          <w:bCs/>
          <w:i/>
          <w:iCs/>
          <w:lang w:val="en-US" w:eastAsia="zh-CN"/>
        </w:rPr>
      </w:pPr>
      <w:r w:rsidRPr="00962EC6">
        <w:rPr>
          <w:b/>
          <w:bCs/>
          <w:i/>
          <w:iCs/>
          <w:lang w:val="en-US" w:eastAsia="zh-CN"/>
        </w:rPr>
        <w:t xml:space="preserve">Proposal </w:t>
      </w:r>
      <w:r w:rsidR="00F302FE">
        <w:rPr>
          <w:b/>
          <w:bCs/>
          <w:i/>
          <w:iCs/>
          <w:lang w:val="en-US" w:eastAsia="zh-CN"/>
        </w:rPr>
        <w:t>19</w:t>
      </w:r>
      <w:r w:rsidRPr="00962EC6">
        <w:rPr>
          <w:b/>
          <w:bCs/>
          <w:i/>
          <w:iCs/>
          <w:lang w:val="en-US" w:eastAsia="zh-CN"/>
        </w:rPr>
        <w:t xml:space="preserve">: RAN1 should study to introduce a new QCL type indication to let UE </w:t>
      </w:r>
      <w:r>
        <w:rPr>
          <w:b/>
          <w:bCs/>
          <w:i/>
          <w:iCs/>
          <w:lang w:val="en-US" w:eastAsia="zh-CN"/>
        </w:rPr>
        <w:t>aware that</w:t>
      </w:r>
      <w:r w:rsidRPr="00962EC6">
        <w:rPr>
          <w:b/>
          <w:bCs/>
          <w:i/>
          <w:iCs/>
          <w:lang w:val="en-US" w:eastAsia="zh-CN"/>
        </w:rPr>
        <w:t xml:space="preserve"> two BM-RSs are based on the same Tx beam. </w:t>
      </w:r>
    </w:p>
    <w:p w14:paraId="098F4955" w14:textId="2544E636" w:rsidR="007A1F9E" w:rsidRDefault="00AC2430" w:rsidP="00AC2430">
      <w:pPr>
        <w:pStyle w:val="Heading1"/>
      </w:pPr>
      <w:r>
        <w:t>Appendix – Simulation Assumption</w:t>
      </w:r>
    </w:p>
    <w:p w14:paraId="2230E222" w14:textId="618BF6A8"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Pr>
          <w:b/>
          <w:bCs/>
          <w:lang w:val="en-US" w:eastAsia="zh-CN"/>
        </w:rPr>
        <w:t>1</w:t>
      </w:r>
      <w:r w:rsidRPr="00583230">
        <w:rPr>
          <w:b/>
          <w:bCs/>
          <w:lang w:val="en-US" w:eastAsia="zh-CN"/>
        </w:rPr>
        <w:t>: Simulation Assumption for Beam Management</w:t>
      </w:r>
      <w:r>
        <w:rPr>
          <w:b/>
          <w:bCs/>
          <w:lang w:val="en-US" w:eastAsia="zh-CN"/>
        </w:rPr>
        <w:t xml:space="preserve"> for issue 3</w:t>
      </w:r>
    </w:p>
    <w:tbl>
      <w:tblPr>
        <w:tblStyle w:val="GridTable4-Accent1"/>
        <w:tblW w:w="0" w:type="auto"/>
        <w:tblLook w:val="04A0" w:firstRow="1" w:lastRow="0" w:firstColumn="1" w:lastColumn="0" w:noHBand="0" w:noVBand="1"/>
      </w:tblPr>
      <w:tblGrid>
        <w:gridCol w:w="4505"/>
        <w:gridCol w:w="4505"/>
      </w:tblGrid>
      <w:tr w:rsidR="000D4A1A" w14:paraId="537081EE" w14:textId="77777777" w:rsidTr="00562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5FFAA8"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251FE3BD" w14:textId="77777777" w:rsidR="000D4A1A" w:rsidRPr="00583230" w:rsidRDefault="000D4A1A" w:rsidP="00562D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74101242"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E35711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03411D5C" w14:textId="314FC578"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74D32D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79964E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42C0536C" w14:textId="2C806E13"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25EE9B7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7A475CB" w14:textId="153356C8"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1B47A0C0" w14:textId="560B93D6"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w:t>
            </w:r>
          </w:p>
        </w:tc>
      </w:tr>
      <w:tr w:rsidR="000D4A1A" w14:paraId="614AEFD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DCF53D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lastRenderedPageBreak/>
              <w:t>gNB antenna architecture (M, N, P, Q)</w:t>
            </w:r>
          </w:p>
        </w:tc>
        <w:tc>
          <w:tcPr>
            <w:tcW w:w="4505" w:type="dxa"/>
          </w:tcPr>
          <w:p w14:paraId="25D11622"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7C2FA38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2DEFA1F"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F2E3EE5" w14:textId="1DC6A9E1"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D5F4BFF"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AA1E8DB" w14:textId="26ED1A35"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406EFFFC" w14:textId="259D7C31"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km/h</w:t>
            </w:r>
          </w:p>
        </w:tc>
      </w:tr>
      <w:tr w:rsidR="000D4A1A" w14:paraId="682744D5"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F37397" w14:textId="467E9959"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Handover delay</w:t>
            </w:r>
          </w:p>
        </w:tc>
        <w:tc>
          <w:tcPr>
            <w:tcW w:w="4505" w:type="dxa"/>
          </w:tcPr>
          <w:p w14:paraId="55A64EBB" w14:textId="3962A210"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0s, 1s, 2s</w:t>
            </w:r>
          </w:p>
        </w:tc>
      </w:tr>
      <w:tr w:rsidR="000D4A1A" w14:paraId="3210F139" w14:textId="77777777" w:rsidTr="00562D2B">
        <w:tc>
          <w:tcPr>
            <w:tcW w:w="4505" w:type="dxa"/>
          </w:tcPr>
          <w:p w14:paraId="4588849B" w14:textId="5E346812" w:rsidR="000D4A1A" w:rsidRPr="00583230" w:rsidRDefault="000D4A1A" w:rsidP="00562D2B">
            <w:pPr>
              <w:pStyle w:val="0Maintext"/>
              <w:spacing w:after="120" w:afterAutospacing="0" w:line="240" w:lineRule="auto"/>
              <w:ind w:firstLine="0"/>
              <w:cnfStyle w:val="001000000000" w:firstRow="0" w:lastRow="0" w:firstColumn="1" w:lastColumn="0" w:oddVBand="0" w:evenVBand="0" w:oddHBand="0" w:evenHBand="0" w:firstRowFirstColumn="0" w:firstRowLastColumn="0" w:lastRowFirstColumn="0" w:lastRowLastColumn="0"/>
              <w:rPr>
                <w:b w:val="0"/>
                <w:bCs w:val="0"/>
                <w:lang w:val="en-US" w:eastAsia="zh-CN"/>
              </w:rPr>
            </w:pPr>
            <w:r>
              <w:rPr>
                <w:b w:val="0"/>
                <w:bCs w:val="0"/>
                <w:lang w:val="en-US" w:eastAsia="zh-CN"/>
              </w:rPr>
              <w:t>UE mobility and trajectory</w:t>
            </w:r>
          </w:p>
        </w:tc>
        <w:tc>
          <w:tcPr>
            <w:tcW w:w="4505" w:type="dxa"/>
          </w:tcPr>
          <w:p w14:paraId="2154175C" w14:textId="09B3F037" w:rsidR="000D4A1A" w:rsidRPr="00583230" w:rsidRDefault="00242650" w:rsidP="00562D2B">
            <w:pPr>
              <w:pStyle w:val="0Maintext"/>
              <w:spacing w:after="120" w:afterAutospacing="0" w:line="240" w:lineRule="auto"/>
              <w:ind w:firstLine="0"/>
              <w:rPr>
                <w:b/>
                <w:bCs/>
                <w:lang w:val="en-US" w:eastAsia="zh-CN"/>
              </w:rPr>
            </w:pPr>
            <w:r>
              <w:rPr>
                <w:noProof/>
              </w:rPr>
              <w:object w:dxaOrig="9630" w:dyaOrig="10485" w14:anchorId="2C27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95.6pt;mso-width-percent:0;mso-height-percent:0;mso-width-percent:0;mso-height-percent:0" o:ole="">
                  <v:imagedata r:id="rId20" o:title=""/>
                </v:shape>
                <o:OLEObject Type="Embed" ProgID="Visio.Drawing.15" ShapeID="_x0000_i1025" DrawAspect="Content" ObjectID="_1672311626" r:id="rId21"/>
              </w:object>
            </w:r>
          </w:p>
        </w:tc>
      </w:tr>
      <w:tr w:rsidR="000D4A1A" w14:paraId="0E8107A1"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F02F88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004AD81"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2C6B1EA"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070E7632"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50D91350"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52C0E3D6"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2698F42" w14:textId="4CB90596"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Channel status</w:t>
            </w:r>
          </w:p>
        </w:tc>
        <w:tc>
          <w:tcPr>
            <w:tcW w:w="4505" w:type="dxa"/>
          </w:tcPr>
          <w:p w14:paraId="26A994DF" w14:textId="3BC89AFF"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LOS</w:t>
            </w:r>
          </w:p>
        </w:tc>
      </w:tr>
      <w:tr w:rsidR="002E7D5F" w14:paraId="584A6953"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7B8F020" w14:textId="720EFD48"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CE0D4A3" w14:textId="563F0920"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0%</w:t>
            </w:r>
          </w:p>
        </w:tc>
      </w:tr>
      <w:tr w:rsidR="002E7D5F" w14:paraId="02C8268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1829EAF" w14:textId="1330A416"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4B0E6867" w14:textId="54F5039B"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 MHz</w:t>
            </w:r>
          </w:p>
        </w:tc>
      </w:tr>
    </w:tbl>
    <w:p w14:paraId="07D60FD7" w14:textId="08323506" w:rsidR="000D4A1A" w:rsidRDefault="000D4A1A" w:rsidP="00583230">
      <w:pPr>
        <w:pStyle w:val="0Maintext"/>
        <w:spacing w:after="120" w:afterAutospacing="0" w:line="240" w:lineRule="auto"/>
        <w:ind w:firstLine="0"/>
        <w:jc w:val="center"/>
        <w:rPr>
          <w:b/>
          <w:bCs/>
          <w:lang w:val="en-US" w:eastAsia="zh-CN"/>
        </w:rPr>
      </w:pPr>
    </w:p>
    <w:p w14:paraId="7E481CFC" w14:textId="2CC65FD2"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Pr>
          <w:b/>
          <w:bCs/>
          <w:lang w:val="en-US" w:eastAsia="zh-CN"/>
        </w:rPr>
        <w:t>2</w:t>
      </w:r>
      <w:r w:rsidRPr="00583230">
        <w:rPr>
          <w:b/>
          <w:bCs/>
          <w:lang w:val="en-US" w:eastAsia="zh-CN"/>
        </w:rPr>
        <w:t>: Simulation Assumption for Beam Management</w:t>
      </w:r>
      <w:r>
        <w:rPr>
          <w:b/>
          <w:bCs/>
          <w:lang w:val="en-US" w:eastAsia="zh-CN"/>
        </w:rPr>
        <w:t xml:space="preserve"> for issue </w:t>
      </w:r>
      <w:r w:rsidR="00F302FE">
        <w:rPr>
          <w:b/>
          <w:bCs/>
          <w:lang w:val="en-US" w:eastAsia="zh-CN"/>
        </w:rPr>
        <w:t>5</w:t>
      </w:r>
    </w:p>
    <w:tbl>
      <w:tblPr>
        <w:tblStyle w:val="GridTable4-Accent1"/>
        <w:tblW w:w="0" w:type="auto"/>
        <w:tblLook w:val="04A0" w:firstRow="1" w:lastRow="0" w:firstColumn="1" w:lastColumn="0" w:noHBand="0" w:noVBand="1"/>
      </w:tblPr>
      <w:tblGrid>
        <w:gridCol w:w="4505"/>
        <w:gridCol w:w="4505"/>
      </w:tblGrid>
      <w:tr w:rsidR="000D4A1A" w14:paraId="7DFE3D8A" w14:textId="77777777" w:rsidTr="00562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F8CF72B"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4DF2FDC5" w14:textId="77777777" w:rsidR="000D4A1A" w:rsidRPr="00583230" w:rsidRDefault="000D4A1A" w:rsidP="00562D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2437581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D8BC235"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15A63476"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2649B86"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A3BB0F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F01C80E"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42E6EBD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AF46B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07397916" w14:textId="7E4CE5BC"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0D4A1A" w14:paraId="374DBAA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FF2E02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138D85AB"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33081634"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BFD6D3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45459D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176189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58489517" w14:textId="77777777"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738C8924" w14:textId="121EF00E"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w:t>
            </w:r>
            <w:r w:rsidR="002E7D5F">
              <w:rPr>
                <w:b/>
                <w:bCs/>
                <w:lang w:val="en-US" w:eastAsia="zh-CN"/>
              </w:rPr>
              <w:t xml:space="preserve"> for indoor and 30km/h for outdoor</w:t>
            </w:r>
          </w:p>
        </w:tc>
      </w:tr>
      <w:tr w:rsidR="002E7D5F" w14:paraId="7BCBA8E9"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A9A7C6C" w14:textId="199DFED5"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3A42927" w14:textId="19AF6EC6" w:rsidR="002E7D5F" w:rsidRPr="00583230" w:rsidRDefault="002E7D5F" w:rsidP="002E7D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2E7D5F" w14:paraId="4E9552C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F1BFAA4" w14:textId="1C5829FF"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7F6B3320" w14:textId="7E302A82" w:rsidR="002E7D5F" w:rsidRPr="00583230" w:rsidRDefault="002E7D5F" w:rsidP="002E7D5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0D4A1A" w14:paraId="15C9FD52"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19480F7"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246F2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990249C"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010802D1"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2B60BF1A"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7F4B0D90"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CA8CAC" w14:textId="694C7FCD"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gNB noise figure</w:t>
            </w:r>
          </w:p>
        </w:tc>
        <w:tc>
          <w:tcPr>
            <w:tcW w:w="4505" w:type="dxa"/>
          </w:tcPr>
          <w:p w14:paraId="70837C78" w14:textId="513D8C5D"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7 dB</w:t>
            </w:r>
          </w:p>
        </w:tc>
      </w:tr>
      <w:tr w:rsidR="002E7D5F" w14:paraId="2088D6E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BD6C224" w14:textId="79633E9A"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UE maximum Tx power</w:t>
            </w:r>
          </w:p>
        </w:tc>
        <w:tc>
          <w:tcPr>
            <w:tcW w:w="4505" w:type="dxa"/>
          </w:tcPr>
          <w:p w14:paraId="28E2D16C" w14:textId="3559CB14"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23 dBm</w:t>
            </w:r>
          </w:p>
        </w:tc>
      </w:tr>
      <w:tr w:rsidR="002E7D5F" w14:paraId="7E9AFF83"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2BF8D9F" w14:textId="581F57D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UL power control parameters</w:t>
            </w:r>
          </w:p>
        </w:tc>
        <w:tc>
          <w:tcPr>
            <w:tcW w:w="4505" w:type="dxa"/>
          </w:tcPr>
          <w:p w14:paraId="19A8DFB6" w14:textId="4E5BF179"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P0 = -90dBm, alpha = 0.9</w:t>
            </w:r>
          </w:p>
        </w:tc>
      </w:tr>
      <w:tr w:rsidR="002E7D5F" w14:paraId="3687EF47"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6760259" w14:textId="31FCDE30"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6844E812" w14:textId="7CE6A9BC"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2E7D5F" w14:paraId="1B6B8217"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CB7A24A" w14:textId="1B7560A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lastRenderedPageBreak/>
              <w:t>Blockage modeling</w:t>
            </w:r>
          </w:p>
        </w:tc>
        <w:tc>
          <w:tcPr>
            <w:tcW w:w="4505" w:type="dxa"/>
          </w:tcPr>
          <w:p w14:paraId="6BD9BE6E" w14:textId="27B9BC5C"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Randomly selecting 1 panel to be blocked with additional 10dB pathloss</w:t>
            </w:r>
          </w:p>
        </w:tc>
      </w:tr>
      <w:tr w:rsidR="002E7D5F" w14:paraId="18EEE53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3FEBCAE" w14:textId="6B303939"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Power back-off</w:t>
            </w:r>
          </w:p>
        </w:tc>
        <w:tc>
          <w:tcPr>
            <w:tcW w:w="4505" w:type="dxa"/>
          </w:tcPr>
          <w:p w14:paraId="3E9944BD" w14:textId="1C3B75F2"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P-MPR = 10dB for the blocked panel</w:t>
            </w:r>
          </w:p>
        </w:tc>
      </w:tr>
      <w:tr w:rsidR="002E7D5F" w14:paraId="478A429C"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835AE0" w14:textId="4CB9C867"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9421773" w14:textId="19647DDD"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r w:rsidR="002E7D5F" w14:paraId="4759C6B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50E8230" w14:textId="2446DF4C"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Traffic model</w:t>
            </w:r>
          </w:p>
        </w:tc>
        <w:tc>
          <w:tcPr>
            <w:tcW w:w="4505" w:type="dxa"/>
          </w:tcPr>
          <w:p w14:paraId="08A54521" w14:textId="74F0EA06"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Full buffer</w:t>
            </w:r>
          </w:p>
        </w:tc>
      </w:tr>
      <w:tr w:rsidR="002E7D5F" w14:paraId="14EA7476"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E234CB5" w14:textId="2347CFF3"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MIMO mode</w:t>
            </w:r>
          </w:p>
        </w:tc>
        <w:tc>
          <w:tcPr>
            <w:tcW w:w="4505" w:type="dxa"/>
          </w:tcPr>
          <w:p w14:paraId="0B4298BE" w14:textId="3FC099D1"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SU-MIMO</w:t>
            </w:r>
          </w:p>
        </w:tc>
      </w:tr>
      <w:tr w:rsidR="002E7D5F" w14:paraId="69F7E6C3"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143ED4A" w14:textId="0446CD8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Transmission scheme</w:t>
            </w:r>
          </w:p>
        </w:tc>
        <w:tc>
          <w:tcPr>
            <w:tcW w:w="4505" w:type="dxa"/>
          </w:tcPr>
          <w:p w14:paraId="55F3184B" w14:textId="4CA9DCB5"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Codebook based</w:t>
            </w:r>
          </w:p>
        </w:tc>
      </w:tr>
      <w:tr w:rsidR="002E7D5F" w14:paraId="29096ACF"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22771B" w14:textId="6CCC8B2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Scheduler </w:t>
            </w:r>
          </w:p>
        </w:tc>
        <w:tc>
          <w:tcPr>
            <w:tcW w:w="4505" w:type="dxa"/>
          </w:tcPr>
          <w:p w14:paraId="04401244" w14:textId="40E23DEC"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PF</w:t>
            </w:r>
          </w:p>
        </w:tc>
      </w:tr>
    </w:tbl>
    <w:p w14:paraId="0928D38A" w14:textId="77777777" w:rsidR="000D4A1A" w:rsidRDefault="000D4A1A" w:rsidP="00583230">
      <w:pPr>
        <w:pStyle w:val="0Maintext"/>
        <w:spacing w:after="120" w:afterAutospacing="0" w:line="240" w:lineRule="auto"/>
        <w:ind w:firstLine="0"/>
        <w:jc w:val="center"/>
        <w:rPr>
          <w:b/>
          <w:b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p w14:paraId="0671AAFF" w14:textId="3A2A5451"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w:t>
      </w:r>
      <w:r w:rsidR="000D4A1A">
        <w:rPr>
          <w:b/>
          <w:bCs/>
          <w:lang w:val="en-US" w:eastAsia="zh-CN"/>
        </w:rPr>
        <w:t>3</w:t>
      </w:r>
      <w:r w:rsidRPr="00583230">
        <w:rPr>
          <w:b/>
          <w:bCs/>
          <w:lang w:val="en-US" w:eastAsia="zh-CN"/>
        </w:rPr>
        <w:t>: Simulation Assumption for Beam Management</w:t>
      </w:r>
      <w:r w:rsidR="000D4A1A">
        <w:rPr>
          <w:b/>
          <w:bCs/>
          <w:lang w:val="en-US" w:eastAsia="zh-CN"/>
        </w:rPr>
        <w:t xml:space="preserve"> for issue 6</w:t>
      </w:r>
    </w:p>
    <w:tbl>
      <w:tblPr>
        <w:tblStyle w:val="GridTable4-Accent1"/>
        <w:tblW w:w="0" w:type="auto"/>
        <w:tblLook w:val="04A0" w:firstRow="1" w:lastRow="0" w:firstColumn="1" w:lastColumn="0" w:noHBand="0" w:noVBand="1"/>
      </w:tblPr>
      <w:tblGrid>
        <w:gridCol w:w="4505"/>
        <w:gridCol w:w="4505"/>
      </w:tblGrid>
      <w:tr w:rsidR="00AC2430" w14:paraId="5B1671E9" w14:textId="77777777" w:rsidTr="00AC24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889998" w14:textId="67D91A90"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6D7921E6" w14:textId="79CE4E0B" w:rsidR="00AC2430" w:rsidRPr="00583230" w:rsidRDefault="00AC2430" w:rsidP="007A1F9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AC2430" w14:paraId="6DAD9593"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71CCD24" w14:textId="5D76E21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76F69B37" w14:textId="38727681"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 xml:space="preserve">Indoor </w:t>
            </w:r>
            <w:r w:rsidR="00583230" w:rsidRPr="00583230">
              <w:rPr>
                <w:b/>
                <w:bCs/>
                <w:lang w:val="en-US" w:eastAsia="zh-CN"/>
              </w:rPr>
              <w:t>Hotspot</w:t>
            </w:r>
          </w:p>
        </w:tc>
      </w:tr>
      <w:tr w:rsidR="00AC2430" w14:paraId="024715FE"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37500756" w14:textId="4E952D72"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14364D7B" w14:textId="4FACCD11"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12</w:t>
            </w:r>
          </w:p>
        </w:tc>
      </w:tr>
      <w:tr w:rsidR="00AC2430" w14:paraId="5A02447D"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C236E7D" w14:textId="4784C124"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UE per cell</w:t>
            </w:r>
          </w:p>
        </w:tc>
        <w:tc>
          <w:tcPr>
            <w:tcW w:w="4505" w:type="dxa"/>
          </w:tcPr>
          <w:p w14:paraId="76529A9C" w14:textId="5180383A"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w:t>
            </w:r>
          </w:p>
        </w:tc>
      </w:tr>
      <w:tr w:rsidR="00AC2430" w14:paraId="2CA21CF0"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240A45F4" w14:textId="42F8693D"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392A739D" w14:textId="618AE347"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AC2430" w14:paraId="609945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623CE0ED" w14:textId="0D81E293"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w:t>
            </w:r>
            <w:r w:rsidR="00583230" w:rsidRPr="00583230">
              <w:rPr>
                <w:b w:val="0"/>
                <w:bCs w:val="0"/>
                <w:lang w:val="en-US" w:eastAsia="zh-CN"/>
              </w:rPr>
              <w:t>, Mg, Ng</w:t>
            </w:r>
            <w:r w:rsidRPr="00583230">
              <w:rPr>
                <w:b w:val="0"/>
                <w:bCs w:val="0"/>
                <w:lang w:val="en-US" w:eastAsia="zh-CN"/>
              </w:rPr>
              <w:t>)</w:t>
            </w:r>
          </w:p>
        </w:tc>
        <w:tc>
          <w:tcPr>
            <w:tcW w:w="4505" w:type="dxa"/>
          </w:tcPr>
          <w:p w14:paraId="548DD7B6" w14:textId="6CAB50F6"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(2, 4, 2, 2</w:t>
            </w:r>
            <w:r w:rsidR="00583230" w:rsidRPr="00583230">
              <w:rPr>
                <w:b/>
                <w:bCs/>
                <w:lang w:val="en-US" w:eastAsia="zh-CN"/>
              </w:rPr>
              <w:t>, 1, 2</w:t>
            </w:r>
            <w:r w:rsidRPr="00583230">
              <w:rPr>
                <w:b/>
                <w:bCs/>
                <w:lang w:val="en-US" w:eastAsia="zh-CN"/>
              </w:rPr>
              <w:t>)</w:t>
            </w:r>
          </w:p>
        </w:tc>
      </w:tr>
      <w:tr w:rsidR="00AC2430" w14:paraId="4D995692"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730728B2" w14:textId="6DED159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Tx power</w:t>
            </w:r>
          </w:p>
        </w:tc>
        <w:tc>
          <w:tcPr>
            <w:tcW w:w="4505" w:type="dxa"/>
          </w:tcPr>
          <w:p w14:paraId="74B13709" w14:textId="6BC60C48"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21 dBm</w:t>
            </w:r>
          </w:p>
        </w:tc>
      </w:tr>
      <w:tr w:rsidR="00AC2430" w14:paraId="3A849988"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E9AF416" w14:textId="6BC30FC7"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noise figure</w:t>
            </w:r>
          </w:p>
        </w:tc>
        <w:tc>
          <w:tcPr>
            <w:tcW w:w="4505" w:type="dxa"/>
          </w:tcPr>
          <w:p w14:paraId="6992A9AF" w14:textId="0C5B6078"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 dB</w:t>
            </w:r>
          </w:p>
        </w:tc>
      </w:tr>
      <w:tr w:rsidR="00AC2430" w14:paraId="35D33AFA"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41DA299C" w14:textId="39527DCD"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Cell association</w:t>
            </w:r>
          </w:p>
        </w:tc>
        <w:tc>
          <w:tcPr>
            <w:tcW w:w="4505" w:type="dxa"/>
          </w:tcPr>
          <w:p w14:paraId="697B2F52" w14:textId="5C1EF4DA" w:rsidR="005832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RSRP based</w:t>
            </w:r>
          </w:p>
        </w:tc>
      </w:tr>
      <w:tr w:rsidR="00AC2430" w14:paraId="37A2AC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F84082" w14:textId="7CCCF7D1"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CF7AB1" w14:textId="54CF00DC" w:rsidR="00AC2430" w:rsidRPr="00583230" w:rsidRDefault="00583230" w:rsidP="0058323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AC2430" w14:paraId="4B833089"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0D3EB6B2" w14:textId="4AEDCE5F"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39F372AD" w14:textId="792A318D" w:rsidR="00AC24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bl>
    <w:p w14:paraId="3AE58D2B" w14:textId="1365787A" w:rsidR="00AC2430" w:rsidRDefault="00AC2430"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6C2026E"/>
    <w:multiLevelType w:val="hybridMultilevel"/>
    <w:tmpl w:val="B48A8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31F21"/>
    <w:multiLevelType w:val="hybridMultilevel"/>
    <w:tmpl w:val="B7326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53C96"/>
    <w:multiLevelType w:val="hybridMultilevel"/>
    <w:tmpl w:val="DE24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3E1A0E"/>
    <w:multiLevelType w:val="hybridMultilevel"/>
    <w:tmpl w:val="A20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5B49CB"/>
    <w:multiLevelType w:val="hybridMultilevel"/>
    <w:tmpl w:val="8972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2F73138"/>
    <w:multiLevelType w:val="hybridMultilevel"/>
    <w:tmpl w:val="C858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662F59"/>
    <w:multiLevelType w:val="hybridMultilevel"/>
    <w:tmpl w:val="65828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141E4"/>
    <w:multiLevelType w:val="hybridMultilevel"/>
    <w:tmpl w:val="1152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038D0"/>
    <w:multiLevelType w:val="hybridMultilevel"/>
    <w:tmpl w:val="AB18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7135C"/>
    <w:multiLevelType w:val="hybridMultilevel"/>
    <w:tmpl w:val="CC766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000F6"/>
    <w:multiLevelType w:val="hybridMultilevel"/>
    <w:tmpl w:val="25465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E078C"/>
    <w:multiLevelType w:val="hybridMultilevel"/>
    <w:tmpl w:val="E178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E97A59"/>
    <w:multiLevelType w:val="hybridMultilevel"/>
    <w:tmpl w:val="0CD6E81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0"/>
  </w:num>
  <w:num w:numId="4">
    <w:abstractNumId w:val="1"/>
  </w:num>
  <w:num w:numId="5">
    <w:abstractNumId w:val="41"/>
  </w:num>
  <w:num w:numId="6">
    <w:abstractNumId w:val="42"/>
  </w:num>
  <w:num w:numId="7">
    <w:abstractNumId w:val="2"/>
  </w:num>
  <w:num w:numId="8">
    <w:abstractNumId w:val="13"/>
  </w:num>
  <w:num w:numId="9">
    <w:abstractNumId w:val="8"/>
  </w:num>
  <w:num w:numId="10">
    <w:abstractNumId w:val="4"/>
  </w:num>
  <w:num w:numId="11">
    <w:abstractNumId w:val="17"/>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5"/>
  </w:num>
  <w:num w:numId="15">
    <w:abstractNumId w:val="21"/>
  </w:num>
  <w:num w:numId="16">
    <w:abstractNumId w:val="39"/>
  </w:num>
  <w:num w:numId="17">
    <w:abstractNumId w:val="24"/>
  </w:num>
  <w:num w:numId="18">
    <w:abstractNumId w:val="27"/>
  </w:num>
  <w:num w:numId="19">
    <w:abstractNumId w:val="18"/>
  </w:num>
  <w:num w:numId="20">
    <w:abstractNumId w:val="44"/>
  </w:num>
  <w:num w:numId="21">
    <w:abstractNumId w:val="31"/>
  </w:num>
  <w:num w:numId="22">
    <w:abstractNumId w:val="22"/>
  </w:num>
  <w:num w:numId="23">
    <w:abstractNumId w:val="35"/>
  </w:num>
  <w:num w:numId="24">
    <w:abstractNumId w:val="7"/>
  </w:num>
  <w:num w:numId="25">
    <w:abstractNumId w:val="20"/>
    <w:lvlOverride w:ilvl="0"/>
    <w:lvlOverride w:ilvl="1">
      <w:startOverride w:val="1"/>
    </w:lvlOverride>
    <w:lvlOverride w:ilvl="2"/>
    <w:lvlOverride w:ilvl="3"/>
    <w:lvlOverride w:ilvl="4"/>
    <w:lvlOverride w:ilvl="5"/>
    <w:lvlOverride w:ilvl="6"/>
    <w:lvlOverride w:ilvl="7"/>
    <w:lvlOverride w:ilvl="8"/>
  </w:num>
  <w:num w:numId="26">
    <w:abstractNumId w:val="20"/>
  </w:num>
  <w:num w:numId="27">
    <w:abstractNumId w:val="34"/>
  </w:num>
  <w:num w:numId="28">
    <w:abstractNumId w:val="30"/>
  </w:num>
  <w:num w:numId="29">
    <w:abstractNumId w:val="37"/>
  </w:num>
  <w:num w:numId="30">
    <w:abstractNumId w:val="16"/>
  </w:num>
  <w:num w:numId="31">
    <w:abstractNumId w:val="36"/>
  </w:num>
  <w:num w:numId="32">
    <w:abstractNumId w:val="43"/>
  </w:num>
  <w:num w:numId="33">
    <w:abstractNumId w:val="11"/>
  </w:num>
  <w:num w:numId="34">
    <w:abstractNumId w:val="23"/>
  </w:num>
  <w:num w:numId="35">
    <w:abstractNumId w:val="38"/>
  </w:num>
  <w:num w:numId="36">
    <w:abstractNumId w:val="40"/>
  </w:num>
  <w:num w:numId="37">
    <w:abstractNumId w:val="6"/>
  </w:num>
  <w:num w:numId="38">
    <w:abstractNumId w:val="33"/>
  </w:num>
  <w:num w:numId="39">
    <w:abstractNumId w:val="28"/>
  </w:num>
  <w:num w:numId="40">
    <w:abstractNumId w:val="29"/>
  </w:num>
  <w:num w:numId="41">
    <w:abstractNumId w:val="19"/>
  </w:num>
  <w:num w:numId="42">
    <w:abstractNumId w:val="26"/>
  </w:num>
  <w:num w:numId="43">
    <w:abstractNumId w:val="45"/>
  </w:num>
  <w:num w:numId="44">
    <w:abstractNumId w:val="14"/>
  </w:num>
  <w:num w:numId="45">
    <w:abstractNumId w:val="9"/>
  </w:num>
  <w:num w:numId="46">
    <w:abstractNumId w:val="5"/>
  </w:num>
  <w:num w:numId="4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765A"/>
    <w:rsid w:val="00071AFF"/>
    <w:rsid w:val="0007732F"/>
    <w:rsid w:val="00081B2B"/>
    <w:rsid w:val="00085223"/>
    <w:rsid w:val="0008670F"/>
    <w:rsid w:val="000923EC"/>
    <w:rsid w:val="000A1890"/>
    <w:rsid w:val="000D0F78"/>
    <w:rsid w:val="000D2660"/>
    <w:rsid w:val="000D4A1A"/>
    <w:rsid w:val="000D54C9"/>
    <w:rsid w:val="000E2519"/>
    <w:rsid w:val="000F2C70"/>
    <w:rsid w:val="0010269A"/>
    <w:rsid w:val="001033DC"/>
    <w:rsid w:val="00107247"/>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C53C6"/>
    <w:rsid w:val="001C71ED"/>
    <w:rsid w:val="001D4551"/>
    <w:rsid w:val="001D5F61"/>
    <w:rsid w:val="001D6F74"/>
    <w:rsid w:val="001E62A2"/>
    <w:rsid w:val="001F1442"/>
    <w:rsid w:val="00203A0D"/>
    <w:rsid w:val="002134C9"/>
    <w:rsid w:val="00215CAC"/>
    <w:rsid w:val="0022367D"/>
    <w:rsid w:val="00232779"/>
    <w:rsid w:val="00242650"/>
    <w:rsid w:val="00245D27"/>
    <w:rsid w:val="00252B41"/>
    <w:rsid w:val="00266E0F"/>
    <w:rsid w:val="0027181A"/>
    <w:rsid w:val="00274F27"/>
    <w:rsid w:val="00284AB0"/>
    <w:rsid w:val="00285B13"/>
    <w:rsid w:val="002948FF"/>
    <w:rsid w:val="0029769A"/>
    <w:rsid w:val="002A274D"/>
    <w:rsid w:val="002A5B21"/>
    <w:rsid w:val="002B0171"/>
    <w:rsid w:val="002B72F3"/>
    <w:rsid w:val="002C1494"/>
    <w:rsid w:val="002C4EFD"/>
    <w:rsid w:val="002C796C"/>
    <w:rsid w:val="002E7D5F"/>
    <w:rsid w:val="0030554A"/>
    <w:rsid w:val="00306493"/>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944D1"/>
    <w:rsid w:val="003B620C"/>
    <w:rsid w:val="003C49B0"/>
    <w:rsid w:val="003C7475"/>
    <w:rsid w:val="003D51F2"/>
    <w:rsid w:val="003E66DF"/>
    <w:rsid w:val="003E75B6"/>
    <w:rsid w:val="00414973"/>
    <w:rsid w:val="00417FC9"/>
    <w:rsid w:val="004312F7"/>
    <w:rsid w:val="00446F00"/>
    <w:rsid w:val="00461B15"/>
    <w:rsid w:val="00462035"/>
    <w:rsid w:val="004704C9"/>
    <w:rsid w:val="004A2991"/>
    <w:rsid w:val="004A41EF"/>
    <w:rsid w:val="004B3124"/>
    <w:rsid w:val="004B368D"/>
    <w:rsid w:val="004B4D8D"/>
    <w:rsid w:val="004B74CC"/>
    <w:rsid w:val="004C4A14"/>
    <w:rsid w:val="004C7036"/>
    <w:rsid w:val="004E6D4D"/>
    <w:rsid w:val="005062CA"/>
    <w:rsid w:val="00517ADD"/>
    <w:rsid w:val="00521183"/>
    <w:rsid w:val="00523D91"/>
    <w:rsid w:val="005327E9"/>
    <w:rsid w:val="0053782C"/>
    <w:rsid w:val="00556671"/>
    <w:rsid w:val="00562D2B"/>
    <w:rsid w:val="00576934"/>
    <w:rsid w:val="0057794A"/>
    <w:rsid w:val="00583230"/>
    <w:rsid w:val="0059417B"/>
    <w:rsid w:val="00596063"/>
    <w:rsid w:val="005B0F7A"/>
    <w:rsid w:val="005B1AD1"/>
    <w:rsid w:val="005B6997"/>
    <w:rsid w:val="005D45F7"/>
    <w:rsid w:val="005D5233"/>
    <w:rsid w:val="005E25D9"/>
    <w:rsid w:val="005F7A0E"/>
    <w:rsid w:val="00604C3D"/>
    <w:rsid w:val="0061765C"/>
    <w:rsid w:val="00622552"/>
    <w:rsid w:val="00624E1C"/>
    <w:rsid w:val="00626534"/>
    <w:rsid w:val="00631A14"/>
    <w:rsid w:val="00634AF5"/>
    <w:rsid w:val="00636D7B"/>
    <w:rsid w:val="00641951"/>
    <w:rsid w:val="00645994"/>
    <w:rsid w:val="006531B1"/>
    <w:rsid w:val="00666868"/>
    <w:rsid w:val="00682EED"/>
    <w:rsid w:val="006A45D6"/>
    <w:rsid w:val="006A57C0"/>
    <w:rsid w:val="006B3E00"/>
    <w:rsid w:val="006C3506"/>
    <w:rsid w:val="006C4E0D"/>
    <w:rsid w:val="006D54CF"/>
    <w:rsid w:val="006E6598"/>
    <w:rsid w:val="006F07E3"/>
    <w:rsid w:val="006F0EC9"/>
    <w:rsid w:val="006F66D2"/>
    <w:rsid w:val="00707829"/>
    <w:rsid w:val="0071089C"/>
    <w:rsid w:val="00720BE8"/>
    <w:rsid w:val="00720EBF"/>
    <w:rsid w:val="00732388"/>
    <w:rsid w:val="0073426D"/>
    <w:rsid w:val="00751E2A"/>
    <w:rsid w:val="00753D11"/>
    <w:rsid w:val="0075517A"/>
    <w:rsid w:val="007570AB"/>
    <w:rsid w:val="00770366"/>
    <w:rsid w:val="007720DD"/>
    <w:rsid w:val="007727CB"/>
    <w:rsid w:val="007740EF"/>
    <w:rsid w:val="0078114E"/>
    <w:rsid w:val="007A1F9E"/>
    <w:rsid w:val="007E3054"/>
    <w:rsid w:val="007E54EF"/>
    <w:rsid w:val="007E554B"/>
    <w:rsid w:val="007E6FF6"/>
    <w:rsid w:val="007F128C"/>
    <w:rsid w:val="007F4737"/>
    <w:rsid w:val="0081070A"/>
    <w:rsid w:val="00820D52"/>
    <w:rsid w:val="00822058"/>
    <w:rsid w:val="00834862"/>
    <w:rsid w:val="00836817"/>
    <w:rsid w:val="00860F75"/>
    <w:rsid w:val="0086391A"/>
    <w:rsid w:val="00882A4D"/>
    <w:rsid w:val="00887C4A"/>
    <w:rsid w:val="0089138A"/>
    <w:rsid w:val="008923A6"/>
    <w:rsid w:val="00894787"/>
    <w:rsid w:val="008A0861"/>
    <w:rsid w:val="008A25E9"/>
    <w:rsid w:val="008A5F33"/>
    <w:rsid w:val="008A65A1"/>
    <w:rsid w:val="008B24BF"/>
    <w:rsid w:val="008C009A"/>
    <w:rsid w:val="008C2187"/>
    <w:rsid w:val="008D0789"/>
    <w:rsid w:val="008D18C8"/>
    <w:rsid w:val="008D3DD1"/>
    <w:rsid w:val="008D6AE1"/>
    <w:rsid w:val="008F0E83"/>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741E"/>
    <w:rsid w:val="00957B16"/>
    <w:rsid w:val="009622B6"/>
    <w:rsid w:val="00962EC6"/>
    <w:rsid w:val="00964F12"/>
    <w:rsid w:val="00965BA8"/>
    <w:rsid w:val="00977119"/>
    <w:rsid w:val="009772B9"/>
    <w:rsid w:val="009834CC"/>
    <w:rsid w:val="00983F09"/>
    <w:rsid w:val="00985108"/>
    <w:rsid w:val="00985F99"/>
    <w:rsid w:val="00990D66"/>
    <w:rsid w:val="00992D77"/>
    <w:rsid w:val="00993596"/>
    <w:rsid w:val="00997267"/>
    <w:rsid w:val="009B7EB1"/>
    <w:rsid w:val="009C3BBA"/>
    <w:rsid w:val="009D18CF"/>
    <w:rsid w:val="009D1C4F"/>
    <w:rsid w:val="009E0E57"/>
    <w:rsid w:val="009E16AA"/>
    <w:rsid w:val="009F58CE"/>
    <w:rsid w:val="009F7D20"/>
    <w:rsid w:val="00A11012"/>
    <w:rsid w:val="00A352F0"/>
    <w:rsid w:val="00A41EE3"/>
    <w:rsid w:val="00A805B9"/>
    <w:rsid w:val="00A80DF8"/>
    <w:rsid w:val="00A86777"/>
    <w:rsid w:val="00A9213A"/>
    <w:rsid w:val="00A93DEE"/>
    <w:rsid w:val="00A95A78"/>
    <w:rsid w:val="00AA4EE3"/>
    <w:rsid w:val="00AB0956"/>
    <w:rsid w:val="00AB26E1"/>
    <w:rsid w:val="00AB59B7"/>
    <w:rsid w:val="00AC2430"/>
    <w:rsid w:val="00AD1997"/>
    <w:rsid w:val="00AE0234"/>
    <w:rsid w:val="00AF0E18"/>
    <w:rsid w:val="00AF13FC"/>
    <w:rsid w:val="00AF7DC9"/>
    <w:rsid w:val="00B0669A"/>
    <w:rsid w:val="00B06EFF"/>
    <w:rsid w:val="00B12FE5"/>
    <w:rsid w:val="00B1523B"/>
    <w:rsid w:val="00B23EB7"/>
    <w:rsid w:val="00B30C35"/>
    <w:rsid w:val="00B4058C"/>
    <w:rsid w:val="00B658E6"/>
    <w:rsid w:val="00B72388"/>
    <w:rsid w:val="00B76E3D"/>
    <w:rsid w:val="00B86B50"/>
    <w:rsid w:val="00B875E8"/>
    <w:rsid w:val="00BA2E33"/>
    <w:rsid w:val="00BB64B1"/>
    <w:rsid w:val="00BB7080"/>
    <w:rsid w:val="00BC2D50"/>
    <w:rsid w:val="00BC38C5"/>
    <w:rsid w:val="00BC5228"/>
    <w:rsid w:val="00BC522F"/>
    <w:rsid w:val="00BD5870"/>
    <w:rsid w:val="00BD740B"/>
    <w:rsid w:val="00BE0401"/>
    <w:rsid w:val="00BE2B6D"/>
    <w:rsid w:val="00BE3F2D"/>
    <w:rsid w:val="00BF487F"/>
    <w:rsid w:val="00BF6DEF"/>
    <w:rsid w:val="00C20B5B"/>
    <w:rsid w:val="00C2111A"/>
    <w:rsid w:val="00C36E32"/>
    <w:rsid w:val="00C46B5C"/>
    <w:rsid w:val="00C5338B"/>
    <w:rsid w:val="00C66A4A"/>
    <w:rsid w:val="00C70860"/>
    <w:rsid w:val="00C8088E"/>
    <w:rsid w:val="00C84FE2"/>
    <w:rsid w:val="00CA48D8"/>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F0066"/>
    <w:rsid w:val="00E00694"/>
    <w:rsid w:val="00E10633"/>
    <w:rsid w:val="00E11B95"/>
    <w:rsid w:val="00E327AE"/>
    <w:rsid w:val="00E55EB5"/>
    <w:rsid w:val="00E56A0E"/>
    <w:rsid w:val="00E60394"/>
    <w:rsid w:val="00E614BF"/>
    <w:rsid w:val="00E80518"/>
    <w:rsid w:val="00E852C2"/>
    <w:rsid w:val="00EA2090"/>
    <w:rsid w:val="00EA73C1"/>
    <w:rsid w:val="00EC0F55"/>
    <w:rsid w:val="00EC2A35"/>
    <w:rsid w:val="00ED0C58"/>
    <w:rsid w:val="00EE18CC"/>
    <w:rsid w:val="00EE70D2"/>
    <w:rsid w:val="00EF0063"/>
    <w:rsid w:val="00EF3CD4"/>
    <w:rsid w:val="00EF501D"/>
    <w:rsid w:val="00EF7114"/>
    <w:rsid w:val="00F01BD8"/>
    <w:rsid w:val="00F05BCC"/>
    <w:rsid w:val="00F15AE1"/>
    <w:rsid w:val="00F17D02"/>
    <w:rsid w:val="00F24869"/>
    <w:rsid w:val="00F302FE"/>
    <w:rsid w:val="00F37734"/>
    <w:rsid w:val="00F419A6"/>
    <w:rsid w:val="00F43CD1"/>
    <w:rsid w:val="00F52ED3"/>
    <w:rsid w:val="00F66AC9"/>
    <w:rsid w:val="00F763E7"/>
    <w:rsid w:val="00F856B8"/>
    <w:rsid w:val="00F86C35"/>
    <w:rsid w:val="00F874FE"/>
    <w:rsid w:val="00F87CB0"/>
    <w:rsid w:val="00F9291A"/>
    <w:rsid w:val="00FA0560"/>
    <w:rsid w:val="00FA48C3"/>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package" Target="embeddings/Microsoft_Visio_Drawing2.vsdx"/><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theme" Target="theme/theme1.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19</Pages>
  <Words>7098</Words>
  <Characters>40465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15</cp:revision>
  <dcterms:created xsi:type="dcterms:W3CDTF">2021-01-05T05:06:00Z</dcterms:created>
  <dcterms:modified xsi:type="dcterms:W3CDTF">2021-01-16T00:51:00Z</dcterms:modified>
</cp:coreProperties>
</file>